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firstLine="723" w:firstLineChars="200"/>
        <w:jc w:val="center"/>
        <w:rPr>
          <w:rFonts w:ascii="宋体" w:hAnsi="宋体" w:cs="宋体"/>
          <w:b/>
          <w:sz w:val="36"/>
          <w:szCs w:val="32"/>
        </w:rPr>
      </w:pPr>
    </w:p>
    <w:p>
      <w:pPr>
        <w:pStyle w:val="2"/>
      </w:pPr>
    </w:p>
    <w:p>
      <w:pPr>
        <w:pStyle w:val="9"/>
      </w:pPr>
    </w:p>
    <w:p>
      <w:pPr>
        <w:spacing w:line="0" w:lineRule="atLeast"/>
        <w:jc w:val="center"/>
        <w:rPr>
          <w:rFonts w:ascii="宋体" w:hAnsi="宋体" w:cs="宋体"/>
          <w:b/>
          <w:bCs/>
          <w:sz w:val="40"/>
          <w:szCs w:val="36"/>
        </w:rPr>
      </w:pPr>
      <w:r>
        <w:rPr>
          <w:rFonts w:hint="eastAsia" w:ascii="宋体" w:hAnsi="宋体" w:cs="宋体"/>
          <w:b/>
          <w:bCs/>
          <w:spacing w:val="80"/>
          <w:sz w:val="40"/>
          <w:szCs w:val="36"/>
        </w:rPr>
        <w:t>盐亭县</w:t>
      </w:r>
      <w:r>
        <w:rPr>
          <w:rFonts w:ascii="宋体" w:hAnsi="宋体" w:cs="宋体"/>
          <w:b/>
          <w:bCs/>
          <w:spacing w:val="80"/>
          <w:sz w:val="40"/>
          <w:szCs w:val="36"/>
        </w:rPr>
        <w:t>人民医院</w:t>
      </w:r>
      <w:r>
        <w:rPr>
          <w:rFonts w:hint="eastAsia" w:ascii="宋体" w:hAnsi="宋体" w:cs="宋体"/>
          <w:b/>
          <w:bCs/>
          <w:spacing w:val="80"/>
          <w:sz w:val="40"/>
          <w:szCs w:val="36"/>
        </w:rPr>
        <w:t>紧急采购</w:t>
      </w:r>
    </w:p>
    <w:p>
      <w:pPr>
        <w:tabs>
          <w:tab w:val="center" w:pos="4153"/>
          <w:tab w:val="left" w:pos="7250"/>
        </w:tabs>
        <w:spacing w:line="0" w:lineRule="atLeast"/>
        <w:ind w:firstLine="1928" w:firstLineChars="200"/>
        <w:jc w:val="center"/>
        <w:rPr>
          <w:rFonts w:ascii="宋体" w:hAnsi="宋体" w:cs="宋体"/>
          <w:b/>
          <w:sz w:val="96"/>
          <w:szCs w:val="120"/>
        </w:rPr>
      </w:pPr>
    </w:p>
    <w:p>
      <w:pPr>
        <w:pStyle w:val="2"/>
      </w:pPr>
    </w:p>
    <w:p>
      <w:pPr>
        <w:pStyle w:val="9"/>
      </w:pPr>
    </w:p>
    <w:p/>
    <w:p>
      <w:pPr>
        <w:tabs>
          <w:tab w:val="center" w:pos="4153"/>
          <w:tab w:val="left" w:pos="7250"/>
        </w:tabs>
        <w:spacing w:line="0" w:lineRule="atLeast"/>
        <w:jc w:val="center"/>
        <w:rPr>
          <w:rFonts w:ascii="宋体" w:hAnsi="宋体" w:cs="宋体"/>
          <w:b/>
          <w:color w:val="FF0000"/>
          <w:sz w:val="96"/>
          <w:szCs w:val="120"/>
        </w:rPr>
      </w:pPr>
      <w:r>
        <w:rPr>
          <w:rFonts w:hint="eastAsia" w:ascii="宋体" w:hAnsi="宋体" w:cs="宋体"/>
          <w:b/>
          <w:color w:val="FF0000"/>
          <w:sz w:val="96"/>
          <w:szCs w:val="120"/>
        </w:rPr>
        <w:t>竞争性磋商文件</w:t>
      </w:r>
    </w:p>
    <w:p>
      <w:pPr>
        <w:spacing w:line="0" w:lineRule="atLeast"/>
        <w:ind w:firstLine="1123" w:firstLineChars="200"/>
        <w:jc w:val="center"/>
        <w:rPr>
          <w:rFonts w:ascii="宋体" w:hAnsi="宋体" w:cs="宋体"/>
          <w:b/>
          <w:bCs/>
          <w:spacing w:val="80"/>
          <w:sz w:val="40"/>
          <w:szCs w:val="36"/>
        </w:rPr>
      </w:pPr>
      <w:bookmarkStart w:id="0" w:name="OLE_LINK55"/>
    </w:p>
    <w:p>
      <w:pPr>
        <w:spacing w:line="0" w:lineRule="atLeast"/>
        <w:rPr>
          <w:rFonts w:ascii="宋体" w:hAnsi="宋体" w:cs="宋体"/>
          <w:b/>
          <w:sz w:val="36"/>
          <w:szCs w:val="32"/>
        </w:rPr>
      </w:pPr>
    </w:p>
    <w:p>
      <w:pPr>
        <w:spacing w:line="0" w:lineRule="atLeast"/>
        <w:rPr>
          <w:rFonts w:ascii="宋体" w:hAnsi="宋体" w:cs="宋体"/>
          <w:b/>
          <w:sz w:val="36"/>
          <w:szCs w:val="32"/>
        </w:rPr>
      </w:pPr>
    </w:p>
    <w:p>
      <w:pPr>
        <w:spacing w:line="0" w:lineRule="atLeast"/>
        <w:rPr>
          <w:rFonts w:ascii="宋体" w:hAnsi="宋体" w:cs="宋体"/>
          <w:b/>
          <w:sz w:val="36"/>
          <w:szCs w:val="32"/>
        </w:rPr>
      </w:pPr>
    </w:p>
    <w:p>
      <w:pPr>
        <w:spacing w:line="0" w:lineRule="atLeast"/>
        <w:rPr>
          <w:rFonts w:ascii="宋体" w:hAnsi="宋体" w:cs="宋体"/>
          <w:b/>
          <w:sz w:val="36"/>
          <w:szCs w:val="32"/>
        </w:rPr>
      </w:pPr>
    </w:p>
    <w:p>
      <w:pPr>
        <w:spacing w:line="0" w:lineRule="atLeast"/>
        <w:rPr>
          <w:rFonts w:ascii="宋体" w:hAnsi="宋体" w:cs="宋体"/>
          <w:b/>
          <w:sz w:val="36"/>
          <w:szCs w:val="32"/>
        </w:rPr>
      </w:pPr>
      <w:r>
        <w:rPr>
          <w:rFonts w:hint="eastAsia" w:ascii="宋体" w:hAnsi="宋体" w:cs="宋体"/>
          <w:b/>
          <w:sz w:val="36"/>
          <w:szCs w:val="32"/>
        </w:rPr>
        <w:t>编号：盐人医急采2021-002</w:t>
      </w:r>
    </w:p>
    <w:p>
      <w:pPr>
        <w:spacing w:line="0" w:lineRule="atLeast"/>
        <w:rPr>
          <w:rFonts w:ascii="宋体" w:hAnsi="宋体" w:cs="宋体"/>
          <w:b/>
          <w:bCs/>
          <w:sz w:val="36"/>
          <w:szCs w:val="32"/>
        </w:rPr>
      </w:pPr>
      <w:r>
        <w:rPr>
          <w:rFonts w:hint="eastAsia" w:ascii="宋体" w:hAnsi="宋体" w:cs="宋体"/>
          <w:b/>
          <w:sz w:val="36"/>
          <w:szCs w:val="32"/>
        </w:rPr>
        <w:t>项目：发热门诊检验设备</w:t>
      </w:r>
    </w:p>
    <w:p>
      <w:pPr>
        <w:pStyle w:val="2"/>
      </w:pPr>
    </w:p>
    <w:p>
      <w:pPr>
        <w:pStyle w:val="9"/>
      </w:pPr>
    </w:p>
    <w:p>
      <w:pPr>
        <w:pStyle w:val="2"/>
      </w:pPr>
    </w:p>
    <w:p>
      <w:pPr>
        <w:pStyle w:val="9"/>
      </w:pPr>
    </w:p>
    <w:p>
      <w:pPr>
        <w:spacing w:line="0" w:lineRule="atLeast"/>
        <w:ind w:firstLine="1123" w:firstLineChars="200"/>
        <w:jc w:val="center"/>
        <w:rPr>
          <w:rFonts w:ascii="宋体" w:hAnsi="宋体" w:cs="宋体"/>
          <w:b/>
          <w:bCs/>
          <w:spacing w:val="80"/>
          <w:sz w:val="40"/>
          <w:szCs w:val="36"/>
        </w:rPr>
      </w:pPr>
    </w:p>
    <w:p>
      <w:pPr>
        <w:spacing w:line="0" w:lineRule="atLeast"/>
        <w:ind w:firstLine="1123" w:firstLineChars="200"/>
        <w:jc w:val="center"/>
        <w:rPr>
          <w:rFonts w:ascii="宋体" w:hAnsi="宋体" w:cs="宋体"/>
          <w:b/>
          <w:bCs/>
          <w:spacing w:val="80"/>
          <w:sz w:val="40"/>
          <w:szCs w:val="36"/>
        </w:rPr>
      </w:pPr>
    </w:p>
    <w:p>
      <w:pPr>
        <w:spacing w:line="0" w:lineRule="atLeast"/>
        <w:jc w:val="center"/>
        <w:rPr>
          <w:rFonts w:ascii="宋体" w:hAnsi="宋体" w:cs="宋体"/>
          <w:b/>
          <w:bCs/>
          <w:sz w:val="40"/>
          <w:szCs w:val="36"/>
        </w:rPr>
      </w:pPr>
      <w:r>
        <w:rPr>
          <w:rFonts w:hint="eastAsia" w:ascii="宋体" w:hAnsi="宋体" w:cs="宋体"/>
          <w:b/>
          <w:bCs/>
          <w:spacing w:val="80"/>
          <w:sz w:val="40"/>
          <w:szCs w:val="36"/>
        </w:rPr>
        <w:t>盐亭县</w:t>
      </w:r>
      <w:r>
        <w:rPr>
          <w:rFonts w:ascii="宋体" w:hAnsi="宋体" w:cs="宋体"/>
          <w:b/>
          <w:bCs/>
          <w:spacing w:val="80"/>
          <w:sz w:val="40"/>
          <w:szCs w:val="36"/>
        </w:rPr>
        <w:t>人民医院</w:t>
      </w:r>
    </w:p>
    <w:bookmarkEnd w:id="0"/>
    <w:p>
      <w:pPr>
        <w:spacing w:line="0" w:lineRule="atLeast"/>
        <w:jc w:val="center"/>
        <w:rPr>
          <w:rFonts w:ascii="宋体" w:hAnsi="宋体" w:cs="宋体"/>
          <w:b/>
          <w:sz w:val="36"/>
          <w:szCs w:val="32"/>
        </w:rPr>
      </w:pPr>
      <w:r>
        <w:rPr>
          <w:rFonts w:hint="eastAsia" w:ascii="宋体" w:hAnsi="宋体" w:cs="宋体"/>
          <w:b/>
          <w:sz w:val="36"/>
          <w:szCs w:val="32"/>
        </w:rPr>
        <w:t>编制</w:t>
      </w:r>
    </w:p>
    <w:p>
      <w:pPr>
        <w:spacing w:line="0" w:lineRule="atLeast"/>
        <w:jc w:val="center"/>
        <w:rPr>
          <w:rFonts w:ascii="宋体" w:hAnsi="宋体" w:cs="宋体"/>
          <w:sz w:val="22"/>
        </w:rPr>
      </w:pPr>
      <w:r>
        <w:rPr>
          <w:rFonts w:hint="eastAsia" w:ascii="宋体" w:hAnsi="宋体" w:cs="宋体"/>
          <w:b/>
          <w:sz w:val="36"/>
          <w:szCs w:val="32"/>
        </w:rPr>
        <w:t>中国·四川·绵阳</w:t>
      </w:r>
    </w:p>
    <w:p>
      <w:pPr>
        <w:spacing w:line="0" w:lineRule="atLeast"/>
        <w:jc w:val="center"/>
        <w:rPr>
          <w:rFonts w:ascii="宋体" w:hAnsi="宋体" w:cs="宋体"/>
          <w:b/>
          <w:sz w:val="44"/>
          <w:szCs w:val="40"/>
        </w:rPr>
      </w:pPr>
      <w:r>
        <w:rPr>
          <w:rFonts w:hint="eastAsia" w:ascii="宋体" w:hAnsi="宋体" w:cs="宋体"/>
          <w:b/>
          <w:bCs/>
          <w:sz w:val="36"/>
          <w:szCs w:val="32"/>
        </w:rPr>
        <w:t>2021</w:t>
      </w:r>
      <w:r>
        <w:rPr>
          <w:rFonts w:hint="eastAsia" w:ascii="宋体" w:hAnsi="宋体" w:cs="宋体"/>
          <w:b/>
          <w:bCs/>
          <w:sz w:val="36"/>
          <w:szCs w:val="32"/>
          <w:lang w:val="zh-CN"/>
        </w:rPr>
        <w:t>年</w:t>
      </w:r>
      <w:r>
        <w:rPr>
          <w:rFonts w:hint="eastAsia" w:ascii="宋体" w:hAnsi="宋体" w:cs="宋体"/>
          <w:b/>
          <w:bCs/>
          <w:sz w:val="36"/>
          <w:szCs w:val="32"/>
        </w:rPr>
        <w:t>5</w:t>
      </w:r>
      <w:r>
        <w:rPr>
          <w:rFonts w:hint="eastAsia" w:ascii="宋体" w:hAnsi="宋体" w:cs="宋体"/>
          <w:b/>
          <w:bCs/>
          <w:sz w:val="36"/>
          <w:szCs w:val="32"/>
          <w:lang w:val="zh-CN"/>
        </w:rPr>
        <w:t>月</w:t>
      </w:r>
    </w:p>
    <w:p>
      <w:pPr>
        <w:widowControl/>
        <w:spacing w:before="225" w:line="0" w:lineRule="atLeast"/>
        <w:ind w:firstLine="480"/>
        <w:jc w:val="left"/>
        <w:rPr>
          <w:rFonts w:ascii="微软雅黑" w:hAnsi="微软雅黑" w:eastAsia="微软雅黑" w:cs="微软雅黑"/>
          <w:color w:val="000000"/>
          <w:kern w:val="0"/>
          <w:sz w:val="22"/>
          <w:szCs w:val="22"/>
          <w:lang w:bidi="ar"/>
        </w:rPr>
      </w:pPr>
    </w:p>
    <w:p>
      <w:pPr>
        <w:pStyle w:val="2"/>
        <w:rPr>
          <w:lang w:bidi="ar"/>
        </w:rPr>
      </w:pPr>
    </w:p>
    <w:p>
      <w:pPr>
        <w:widowControl/>
        <w:spacing w:before="225" w:line="0" w:lineRule="atLeast"/>
        <w:ind w:firstLine="440" w:firstLineChars="200"/>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为贯彻落实省、市、县新冠疫情防控工作，落实国务院应对新型冠状病毒肺炎疫情联防联控机制（医疗救治组）《关于印发应对秋冬季新冠肺炎疫情医疗救治工作方案的通知》（联防联控机制医疗发〔2020〕276号）文件精神，我院按文件要求单独设置专门的发热门诊，切实保障人民群众身体健康和生命安全，经医院党委会议和上级主管部门批准。我院拟紧急采购发热门诊检验设备一批，请符合相应要求的潜在供应商参与竞争，具体事项如下：</w:t>
      </w:r>
    </w:p>
    <w:p>
      <w:pPr>
        <w:pStyle w:val="6"/>
        <w:wordWrap w:val="0"/>
        <w:spacing w:line="360" w:lineRule="auto"/>
        <w:ind w:firstLine="120" w:firstLineChars="50"/>
        <w:rPr>
          <w:rFonts w:ascii="宋体" w:hAnsi="宋体"/>
          <w:b/>
          <w:color w:val="000000"/>
          <w:sz w:val="24"/>
        </w:rPr>
      </w:pPr>
      <w:r>
        <w:rPr>
          <w:rFonts w:hint="eastAsia" w:ascii="宋体" w:hAnsi="宋体"/>
          <w:b/>
          <w:color w:val="000000"/>
          <w:sz w:val="24"/>
        </w:rPr>
        <w:t>一</w:t>
      </w:r>
      <w:r>
        <w:rPr>
          <w:rFonts w:hint="eastAsia" w:ascii="仿宋" w:hAnsi="仿宋" w:eastAsia="仿宋" w:cs="仿宋"/>
          <w:b/>
          <w:color w:val="000000"/>
          <w:kern w:val="0"/>
          <w:sz w:val="22"/>
          <w:szCs w:val="22"/>
          <w:lang w:bidi="ar"/>
        </w:rPr>
        <w:t>、采购项目内容</w:t>
      </w:r>
    </w:p>
    <w:p>
      <w:pPr>
        <w:pStyle w:val="6"/>
        <w:wordWrap w:val="0"/>
        <w:spacing w:line="360" w:lineRule="auto"/>
        <w:ind w:left="0" w:leftChars="0" w:firstLine="440" w:firstLineChars="200"/>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1.项目名称：发热门诊检验设备。</w:t>
      </w:r>
    </w:p>
    <w:p>
      <w:pPr>
        <w:pStyle w:val="6"/>
        <w:wordWrap w:val="0"/>
        <w:spacing w:line="360" w:lineRule="auto"/>
        <w:ind w:left="0" w:leftChars="0" w:firstLine="440" w:firstLineChars="200"/>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2.项目编号：盐人医急采2021-002。</w:t>
      </w:r>
    </w:p>
    <w:p>
      <w:pPr>
        <w:pStyle w:val="6"/>
        <w:wordWrap w:val="0"/>
        <w:spacing w:line="360" w:lineRule="auto"/>
        <w:ind w:left="0" w:leftChars="0" w:firstLine="440" w:firstLineChars="200"/>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3.采购内容：（详见功能、技术参数要求及数量）。</w:t>
      </w:r>
    </w:p>
    <w:p>
      <w:pPr>
        <w:wordWrap w:val="0"/>
        <w:spacing w:line="360" w:lineRule="auto"/>
        <w:ind w:firstLine="440" w:firstLineChars="200"/>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4.采取竞争性磋商方式，在密封报价的基础上，进行一轮或多轮磋商。</w:t>
      </w:r>
    </w:p>
    <w:p>
      <w:pPr>
        <w:wordWrap w:val="0"/>
        <w:spacing w:line="360" w:lineRule="auto"/>
        <w:ind w:firstLine="440" w:firstLineChars="200"/>
        <w:rPr>
          <w:rFonts w:ascii="宋体" w:hAnsi="宋体"/>
          <w:color w:val="000000"/>
          <w:sz w:val="24"/>
        </w:rPr>
      </w:pPr>
      <w:r>
        <w:rPr>
          <w:rFonts w:hint="eastAsia" w:ascii="仿宋" w:hAnsi="仿宋" w:eastAsia="仿宋" w:cs="仿宋"/>
          <w:color w:val="000000"/>
          <w:kern w:val="0"/>
          <w:sz w:val="22"/>
          <w:szCs w:val="22"/>
          <w:lang w:bidi="ar"/>
        </w:rPr>
        <w:t>5.评定方式：综合评分法。</w:t>
      </w:r>
    </w:p>
    <w:p>
      <w:pPr>
        <w:widowControl/>
        <w:spacing w:before="225" w:line="0" w:lineRule="atLeast"/>
        <w:ind w:firstLine="530" w:firstLineChars="240"/>
        <w:jc w:val="left"/>
        <w:rPr>
          <w:rFonts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二、 潜在供应商资格要求：</w:t>
      </w:r>
    </w:p>
    <w:p>
      <w:pPr>
        <w:widowControl/>
        <w:spacing w:before="225" w:line="0" w:lineRule="atLeast"/>
        <w:ind w:firstLine="550" w:firstLineChars="250"/>
        <w:jc w:val="left"/>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1.具有独立承担民事责任的能力。提供营业执照、税务登记证、组织机构代码证（副本复印件）或三证合一副本复印件；</w:t>
      </w:r>
    </w:p>
    <w:p>
      <w:pPr>
        <w:spacing w:line="0" w:lineRule="atLeast"/>
        <w:ind w:firstLine="550" w:firstLineChars="250"/>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2.法定代表人身份证复印件；</w:t>
      </w:r>
    </w:p>
    <w:p>
      <w:pPr>
        <w:spacing w:line="0" w:lineRule="atLeast"/>
        <w:ind w:firstLine="550" w:firstLineChars="250"/>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3.法定代表人授权书、被授权人身份证复印件（法定代表人本人参与不提供）；</w:t>
      </w:r>
    </w:p>
    <w:p>
      <w:pPr>
        <w:spacing w:line="0" w:lineRule="atLeast"/>
        <w:ind w:firstLine="550" w:firstLineChars="250"/>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4.具有履行合同所必须的设备和专业技术能力的承诺（格式自拟）；</w:t>
      </w:r>
    </w:p>
    <w:p>
      <w:pPr>
        <w:spacing w:line="0" w:lineRule="atLeast"/>
        <w:ind w:firstLine="550" w:firstLineChars="250"/>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5.2021年以来任意月缴纳社保资金或税收的证明材料（复印件）；</w:t>
      </w:r>
    </w:p>
    <w:p>
      <w:pPr>
        <w:pStyle w:val="2"/>
        <w:ind w:firstLine="550" w:firstLineChars="250"/>
        <w:rPr>
          <w:lang w:bidi="ar"/>
        </w:rPr>
      </w:pPr>
      <w:r>
        <w:rPr>
          <w:rFonts w:hint="eastAsia" w:ascii="仿宋" w:hAnsi="仿宋" w:eastAsia="仿宋" w:cs="仿宋"/>
          <w:color w:val="000000"/>
          <w:kern w:val="0"/>
          <w:sz w:val="22"/>
          <w:szCs w:val="22"/>
          <w:lang w:bidi="ar"/>
        </w:rPr>
        <w:t>6.参加本次政府采购活动前三年内，在经营活动中没有重大违法记录的承诺（格式自拟）。</w:t>
      </w:r>
    </w:p>
    <w:p>
      <w:pPr>
        <w:widowControl/>
        <w:spacing w:before="225" w:line="0" w:lineRule="atLeast"/>
        <w:ind w:firstLine="442" w:firstLineChars="200"/>
        <w:jc w:val="left"/>
        <w:rPr>
          <w:rFonts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三、采购最高限价：90万元。</w:t>
      </w:r>
    </w:p>
    <w:p>
      <w:pPr>
        <w:widowControl/>
        <w:spacing w:before="225" w:line="0" w:lineRule="atLeast"/>
        <w:ind w:firstLine="442" w:firstLineChars="200"/>
        <w:jc w:val="left"/>
        <w:rPr>
          <w:rFonts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四、采购设备的功能、技术参数要求及数量</w:t>
      </w:r>
    </w:p>
    <w:p>
      <w:pPr>
        <w:pStyle w:val="2"/>
        <w:rPr>
          <w:lang w:bidi="ar"/>
        </w:rPr>
      </w:pPr>
    </w:p>
    <w:tbl>
      <w:tblPr>
        <w:tblStyle w:val="12"/>
        <w:tblW w:w="853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1"/>
        <w:gridCol w:w="1134"/>
        <w:gridCol w:w="6125"/>
        <w:gridCol w:w="7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41" w:type="dxa"/>
            <w:vAlign w:val="center"/>
          </w:tcPr>
          <w:p>
            <w:pPr>
              <w:spacing w:after="120" w:line="0" w:lineRule="atLeast"/>
              <w:jc w:val="center"/>
              <w:rPr>
                <w:b/>
                <w:bCs/>
              </w:rPr>
            </w:pPr>
            <w:r>
              <w:rPr>
                <w:b/>
                <w:bCs/>
              </w:rPr>
              <w:t>序号</w:t>
            </w:r>
          </w:p>
        </w:tc>
        <w:tc>
          <w:tcPr>
            <w:tcW w:w="1134" w:type="dxa"/>
            <w:vAlign w:val="center"/>
          </w:tcPr>
          <w:p>
            <w:pPr>
              <w:spacing w:after="120" w:line="0" w:lineRule="atLeast"/>
              <w:jc w:val="center"/>
              <w:rPr>
                <w:b/>
                <w:bCs/>
              </w:rPr>
            </w:pPr>
            <w:r>
              <w:rPr>
                <w:b/>
                <w:bCs/>
              </w:rPr>
              <w:t>产品名称</w:t>
            </w:r>
          </w:p>
        </w:tc>
        <w:tc>
          <w:tcPr>
            <w:tcW w:w="6125" w:type="dxa"/>
            <w:vAlign w:val="center"/>
          </w:tcPr>
          <w:p>
            <w:pPr>
              <w:spacing w:after="120" w:line="0" w:lineRule="atLeast"/>
              <w:jc w:val="center"/>
              <w:rPr>
                <w:b/>
                <w:bCs/>
              </w:rPr>
            </w:pPr>
            <w:r>
              <w:rPr>
                <w:b/>
                <w:bCs/>
              </w:rPr>
              <w:t>参数</w:t>
            </w:r>
          </w:p>
        </w:tc>
        <w:tc>
          <w:tcPr>
            <w:tcW w:w="736" w:type="dxa"/>
            <w:vAlign w:val="center"/>
          </w:tcPr>
          <w:p>
            <w:pPr>
              <w:spacing w:after="120" w:line="0" w:lineRule="atLeast"/>
              <w:jc w:val="center"/>
              <w:rPr>
                <w:b/>
                <w:bCs/>
              </w:rPr>
            </w:pPr>
            <w:r>
              <w:rPr>
                <w:b/>
                <w:bCs/>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41" w:type="dxa"/>
            <w:vAlign w:val="center"/>
          </w:tcPr>
          <w:p>
            <w:pPr>
              <w:spacing w:after="120" w:line="0" w:lineRule="atLeast"/>
              <w:jc w:val="center"/>
            </w:pPr>
            <w:r>
              <w:rPr>
                <w:rFonts w:hint="eastAsia"/>
              </w:rPr>
              <w:t>1</w:t>
            </w:r>
          </w:p>
        </w:tc>
        <w:tc>
          <w:tcPr>
            <w:tcW w:w="1134" w:type="dxa"/>
            <w:vAlign w:val="center"/>
          </w:tcPr>
          <w:p>
            <w:pPr>
              <w:spacing w:after="120" w:line="0" w:lineRule="atLeast"/>
              <w:jc w:val="center"/>
            </w:pPr>
            <w:r>
              <w:t>全自动生化分析仪</w:t>
            </w:r>
          </w:p>
        </w:tc>
        <w:tc>
          <w:tcPr>
            <w:tcW w:w="6125" w:type="dxa"/>
          </w:tcPr>
          <w:p>
            <w:pPr>
              <w:spacing w:line="0" w:lineRule="atLeast"/>
            </w:pPr>
            <w:r>
              <w:rPr>
                <w:rFonts w:hint="eastAsia"/>
              </w:rPr>
              <w:t>1.仪器类型：</w:t>
            </w:r>
            <w:r>
              <w:rPr>
                <w:rFonts w:hint="eastAsia"/>
              </w:rPr>
              <w:tab/>
            </w:r>
            <w:r>
              <w:rPr>
                <w:rFonts w:hint="eastAsia"/>
              </w:rPr>
              <w:t>随机开放式/分立式</w:t>
            </w:r>
          </w:p>
          <w:p>
            <w:pPr>
              <w:spacing w:line="0" w:lineRule="atLeast"/>
            </w:pPr>
            <w:r>
              <w:rPr>
                <w:rFonts w:hint="eastAsia"/>
              </w:rPr>
              <w:t>★2.测试速度：≥400测试/小时，（单，双试剂恒定）</w:t>
            </w:r>
          </w:p>
          <w:p>
            <w:pPr>
              <w:spacing w:line="0" w:lineRule="atLeast"/>
            </w:pPr>
            <w:r>
              <w:rPr>
                <w:rFonts w:hint="eastAsia"/>
              </w:rPr>
              <w:t>3.测试方法：</w:t>
            </w:r>
            <w:r>
              <w:rPr>
                <w:rFonts w:hint="eastAsia"/>
              </w:rPr>
              <w:tab/>
            </w:r>
            <w:r>
              <w:rPr>
                <w:rFonts w:hint="eastAsia"/>
              </w:rPr>
              <w:t>1点终点法，2点终点法，两点法，速率法（动力学法）</w:t>
            </w:r>
          </w:p>
          <w:p>
            <w:pPr>
              <w:spacing w:line="0" w:lineRule="atLeast"/>
            </w:pPr>
            <w:r>
              <w:rPr>
                <w:rFonts w:hint="eastAsia"/>
              </w:rPr>
              <w:t>4.定标方法：线性，非线性定标；1 点线性法，2点线性法，多点线性法；</w:t>
            </w:r>
          </w:p>
          <w:p>
            <w:pPr>
              <w:spacing w:line="0" w:lineRule="atLeast"/>
            </w:pPr>
            <w:r>
              <w:rPr>
                <w:rFonts w:hint="eastAsia"/>
              </w:rPr>
              <w:t>5.样本盘：</w:t>
            </w:r>
            <w:r>
              <w:rPr>
                <w:rFonts w:hint="eastAsia"/>
              </w:rPr>
              <w:tab/>
            </w:r>
            <w:r>
              <w:rPr>
                <w:rFonts w:hint="eastAsia"/>
              </w:rPr>
              <w:t>≥120个样本位（无需扩展），支持微量样本杯，原始采血管6.试剂盘：≥90个试剂位；试剂盘24小时不间断冷藏；</w:t>
            </w:r>
          </w:p>
          <w:p>
            <w:pPr>
              <w:spacing w:line="0" w:lineRule="atLeast"/>
            </w:pPr>
            <w:r>
              <w:rPr>
                <w:rFonts w:hint="eastAsia"/>
              </w:rPr>
              <w:t>7.样本量：2-30ul，0.1ul步进；</w:t>
            </w:r>
          </w:p>
          <w:p>
            <w:pPr>
              <w:spacing w:line="0" w:lineRule="atLeast"/>
            </w:pPr>
            <w:r>
              <w:rPr>
                <w:rFonts w:hint="eastAsia"/>
              </w:rPr>
              <w:t>8.试剂量：20-300ul，1ul步进；</w:t>
            </w:r>
          </w:p>
          <w:p>
            <w:pPr>
              <w:spacing w:line="0" w:lineRule="atLeast"/>
            </w:pPr>
            <w:r>
              <w:rPr>
                <w:rFonts w:hint="eastAsia"/>
              </w:rPr>
              <w:t>9.反应体积：≥150ul；</w:t>
            </w:r>
          </w:p>
          <w:p>
            <w:pPr>
              <w:spacing w:line="0" w:lineRule="atLeast"/>
            </w:pPr>
            <w:r>
              <w:rPr>
                <w:rFonts w:hint="eastAsia"/>
              </w:rPr>
              <w:t>10.反应杯位：≤90个，节省反应杯成本</w:t>
            </w:r>
          </w:p>
          <w:p>
            <w:pPr>
              <w:spacing w:line="0" w:lineRule="atLeast"/>
            </w:pPr>
            <w:r>
              <w:rPr>
                <w:rFonts w:hint="eastAsia"/>
              </w:rPr>
              <w:t>11.反应温度：37±0.1℃；免维护固体恒温全封闭直热</w:t>
            </w:r>
          </w:p>
          <w:p>
            <w:pPr>
              <w:spacing w:line="0" w:lineRule="atLeast"/>
            </w:pPr>
            <w:r>
              <w:rPr>
                <w:rFonts w:hint="eastAsia"/>
              </w:rPr>
              <w:t>12.搅拌：1个独立特氟龙镀层搅拌杆</w:t>
            </w:r>
          </w:p>
          <w:p>
            <w:pPr>
              <w:spacing w:line="0" w:lineRule="atLeast"/>
            </w:pPr>
            <w:r>
              <w:rPr>
                <w:rFonts w:hint="eastAsia"/>
              </w:rPr>
              <w:t>13.清洗机构：2*6步自动清洗</w:t>
            </w:r>
          </w:p>
          <w:p>
            <w:pPr>
              <w:spacing w:line="0" w:lineRule="atLeast"/>
            </w:pPr>
            <w:r>
              <w:rPr>
                <w:rFonts w:hint="eastAsia"/>
              </w:rPr>
              <w:t>14.光学系统：点阵式后分光技术，光纤光路传输</w:t>
            </w:r>
          </w:p>
          <w:p>
            <w:pPr>
              <w:spacing w:line="0" w:lineRule="atLeast"/>
            </w:pPr>
            <w:r>
              <w:rPr>
                <w:rFonts w:hint="eastAsia"/>
              </w:rPr>
              <w:t>★15.CV%值：终点法≤1%，速率法≤1.75%</w:t>
            </w:r>
          </w:p>
          <w:p>
            <w:pPr>
              <w:spacing w:line="0" w:lineRule="atLeast"/>
            </w:pPr>
            <w:r>
              <w:rPr>
                <w:rFonts w:hint="eastAsia"/>
              </w:rPr>
              <w:t>16.波长：标配（8个）340nm，405nm，450nm，505nm，546nm，578nm，630nm，700nm(4个选配波长)；</w:t>
            </w:r>
          </w:p>
          <w:p>
            <w:pPr>
              <w:spacing w:line="0" w:lineRule="atLeast"/>
            </w:pPr>
            <w:r>
              <w:rPr>
                <w:rFonts w:hint="eastAsia"/>
              </w:rPr>
              <w:t>17.吸光度范围：0-4.0Abs</w:t>
            </w:r>
          </w:p>
          <w:p>
            <w:pPr>
              <w:spacing w:line="0" w:lineRule="atLeast"/>
            </w:pPr>
            <w:r>
              <w:rPr>
                <w:rFonts w:hint="eastAsia"/>
              </w:rPr>
              <w:t>18.吸光度精度：0.0001Abs</w:t>
            </w:r>
          </w:p>
          <w:p>
            <w:pPr>
              <w:spacing w:line="0" w:lineRule="atLeast"/>
            </w:pPr>
            <w:r>
              <w:rPr>
                <w:rFonts w:hint="eastAsia"/>
              </w:rPr>
              <w:t>19.加样针技术：防撞保护，实时反馈剩余试剂量</w:t>
            </w:r>
          </w:p>
          <w:p>
            <w:pPr>
              <w:spacing w:line="0" w:lineRule="atLeast"/>
            </w:pPr>
            <w:r>
              <w:rPr>
                <w:rFonts w:hint="eastAsia"/>
              </w:rPr>
              <w:t>20.软件功能：Windows XP，Windows 7， Windows 8环境下运行；全中文操作软件，具有丰富的查询功能；实时显示运行状态；样本自动稀释功能；自动检查比色杯状态，自动屏蔽异常比色杯；试剂或样本耗尽时自动屏蔽相应测试并自动标识报警；样本结果自动检查并报警。</w:t>
            </w:r>
          </w:p>
          <w:p>
            <w:pPr>
              <w:spacing w:line="0" w:lineRule="atLeast"/>
            </w:pPr>
          </w:p>
        </w:tc>
        <w:tc>
          <w:tcPr>
            <w:tcW w:w="736" w:type="dxa"/>
            <w:vAlign w:val="center"/>
          </w:tcPr>
          <w:p>
            <w:pPr>
              <w:spacing w:after="120" w:line="0" w:lineRule="atLeast"/>
              <w:jc w:val="center"/>
            </w:pPr>
            <w:r>
              <w:t>一套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99" w:hRule="atLeast"/>
          <w:jc w:val="center"/>
        </w:trPr>
        <w:tc>
          <w:tcPr>
            <w:tcW w:w="541" w:type="dxa"/>
            <w:vAlign w:val="center"/>
          </w:tcPr>
          <w:p>
            <w:pPr>
              <w:spacing w:after="120" w:line="0" w:lineRule="atLeast"/>
              <w:jc w:val="center"/>
            </w:pPr>
            <w:r>
              <w:rPr>
                <w:rFonts w:hint="eastAsia"/>
              </w:rPr>
              <w:t>2</w:t>
            </w:r>
          </w:p>
        </w:tc>
        <w:tc>
          <w:tcPr>
            <w:tcW w:w="1134" w:type="dxa"/>
            <w:vAlign w:val="center"/>
          </w:tcPr>
          <w:p>
            <w:pPr>
              <w:spacing w:after="120" w:line="0" w:lineRule="atLeast"/>
              <w:jc w:val="center"/>
            </w:pPr>
            <w:r>
              <w:t>全自动血细胞分析仪带</w:t>
            </w:r>
            <w:r>
              <w:rPr>
                <w:rFonts w:hint="eastAsia"/>
              </w:rPr>
              <w:t>CRP分析仪</w:t>
            </w:r>
          </w:p>
        </w:tc>
        <w:tc>
          <w:tcPr>
            <w:tcW w:w="6125" w:type="dxa"/>
          </w:tcPr>
          <w:p>
            <w:pPr>
              <w:spacing w:line="0" w:lineRule="atLeast"/>
            </w:pPr>
            <w:r>
              <w:rPr>
                <w:rFonts w:hint="eastAsia"/>
              </w:rPr>
              <w:t>1.</w:t>
            </w:r>
            <w:r>
              <w:t>检测原理：采用激光散射法对白细胞进行准确的五分类检测，采用免疫比浊法进行C-反应蛋白（CRP）测定</w:t>
            </w:r>
          </w:p>
          <w:p>
            <w:pPr>
              <w:spacing w:line="0" w:lineRule="atLeast"/>
            </w:pPr>
            <w:r>
              <w:rPr>
                <w:rFonts w:hint="eastAsia"/>
              </w:rPr>
              <w:t>2.</w:t>
            </w:r>
            <w:r>
              <w:t>分类通道：具有独立的嗜碱性粒细胞通道</w:t>
            </w:r>
          </w:p>
          <w:p>
            <w:pPr>
              <w:spacing w:line="0" w:lineRule="atLeast"/>
            </w:pPr>
            <w:r>
              <w:rPr>
                <w:rFonts w:hint="eastAsia"/>
              </w:rPr>
              <w:t>3.</w:t>
            </w:r>
            <w:r>
              <w:t>检测参数：≥2</w:t>
            </w:r>
            <w:r>
              <w:rPr>
                <w:rFonts w:hint="eastAsia"/>
              </w:rPr>
              <w:t>6</w:t>
            </w:r>
            <w:r>
              <w:t>项可报告参数（不含散点图和直方图）</w:t>
            </w:r>
          </w:p>
          <w:p>
            <w:pPr>
              <w:spacing w:line="0" w:lineRule="atLeast"/>
            </w:pPr>
            <w:r>
              <w:rPr>
                <w:rFonts w:hint="eastAsia"/>
              </w:rPr>
              <w:t>4.研究参数：≥6项，</w:t>
            </w:r>
            <w:r>
              <w:t>具有异常淋巴细胞</w:t>
            </w:r>
            <w:r>
              <w:rPr>
                <w:rFonts w:hint="eastAsia"/>
              </w:rPr>
              <w:t>、有核红细胞和原始细胞</w:t>
            </w:r>
            <w:r>
              <w:t>报警信息</w:t>
            </w:r>
          </w:p>
          <w:p>
            <w:pPr>
              <w:spacing w:line="0" w:lineRule="atLeast"/>
            </w:pPr>
            <w:r>
              <w:rPr>
                <w:rFonts w:hint="eastAsia"/>
              </w:rPr>
              <w:t>5.</w:t>
            </w:r>
            <w:r>
              <w:t>样本添加：可随时添加样本</w:t>
            </w:r>
          </w:p>
          <w:p>
            <w:pPr>
              <w:spacing w:line="0" w:lineRule="atLeast"/>
            </w:pPr>
            <w:r>
              <w:rPr>
                <w:rFonts w:hint="eastAsia"/>
              </w:rPr>
              <w:t>★6.</w:t>
            </w:r>
            <w:r>
              <w:t>检测模式：具有独立CRP、五分类+CRP等3种以上全血检测模式</w:t>
            </w:r>
          </w:p>
          <w:p>
            <w:pPr>
              <w:spacing w:line="0" w:lineRule="atLeast"/>
            </w:pPr>
            <w:r>
              <w:rPr>
                <w:rFonts w:hint="eastAsia"/>
              </w:rPr>
              <w:t>7.</w:t>
            </w:r>
            <w:r>
              <w:t>进样模式：具有独立的静脉全血、预稀释血检测模式</w:t>
            </w:r>
          </w:p>
          <w:p>
            <w:pPr>
              <w:spacing w:line="0" w:lineRule="atLeast"/>
            </w:pPr>
            <w:r>
              <w:rPr>
                <w:rFonts w:hint="eastAsia"/>
              </w:rPr>
              <w:t>8.</w:t>
            </w:r>
            <w:r>
              <w:t>样本用量：五分类+CRP模式≤</w:t>
            </w:r>
            <w:r>
              <w:rPr>
                <w:rFonts w:hint="eastAsia"/>
              </w:rPr>
              <w:t>3</w:t>
            </w:r>
            <w:r>
              <w:t>0μl，CRP模式≤20μl</w:t>
            </w:r>
          </w:p>
          <w:p>
            <w:pPr>
              <w:spacing w:line="0" w:lineRule="atLeast"/>
            </w:pPr>
            <w:r>
              <w:rPr>
                <w:rFonts w:hint="eastAsia"/>
              </w:rPr>
              <w:t>9.</w:t>
            </w:r>
            <w:r>
              <w:t>检测速度：五分类+CRP模式≥</w:t>
            </w:r>
            <w:r>
              <w:rPr>
                <w:rFonts w:hint="eastAsia"/>
              </w:rPr>
              <w:t>60</w:t>
            </w:r>
            <w:r>
              <w:t>个样本/小时</w:t>
            </w:r>
          </w:p>
          <w:p>
            <w:pPr>
              <w:spacing w:line="0" w:lineRule="atLeast"/>
            </w:pPr>
            <w:r>
              <w:t>预稀释模式：自动定量打出稀释液，具备五分类+CRP功能</w:t>
            </w:r>
          </w:p>
          <w:p>
            <w:pPr>
              <w:spacing w:line="0" w:lineRule="atLeast"/>
            </w:pPr>
            <w:r>
              <w:rPr>
                <w:rFonts w:hint="eastAsia"/>
              </w:rPr>
              <w:t>10.</w:t>
            </w:r>
            <w:r>
              <w:t>WBC线性范围</w:t>
            </w:r>
            <w:r>
              <w:rPr>
                <w:rFonts w:hint="eastAsia"/>
              </w:rPr>
              <w:t>上限</w:t>
            </w:r>
            <w:r>
              <w:t>≥</w:t>
            </w:r>
            <w:r>
              <w:rPr>
                <w:rFonts w:hint="eastAsia"/>
              </w:rPr>
              <w:t>400</w:t>
            </w:r>
            <w:r>
              <w:t>×109/L</w:t>
            </w:r>
            <w:r>
              <w:rPr>
                <w:rFonts w:hint="eastAsia"/>
              </w:rPr>
              <w:t>，PLT</w:t>
            </w:r>
            <w:r>
              <w:t>线性范围</w:t>
            </w:r>
            <w:r>
              <w:rPr>
                <w:rFonts w:hint="eastAsia"/>
              </w:rPr>
              <w:t>上限</w:t>
            </w:r>
            <w:r>
              <w:t>≥</w:t>
            </w:r>
            <w:r>
              <w:rPr>
                <w:rFonts w:hint="eastAsia"/>
              </w:rPr>
              <w:t>5000</w:t>
            </w:r>
            <w:r>
              <w:t>×109/L</w:t>
            </w:r>
          </w:p>
          <w:p>
            <w:pPr>
              <w:spacing w:line="0" w:lineRule="atLeast"/>
            </w:pPr>
            <w:r>
              <w:rPr>
                <w:rFonts w:hint="eastAsia"/>
              </w:rPr>
              <w:t>11.</w:t>
            </w:r>
            <w:r>
              <w:t>CRP线性范围：0.</w:t>
            </w:r>
            <w:r>
              <w:rPr>
                <w:rFonts w:hint="eastAsia"/>
              </w:rPr>
              <w:t>2</w:t>
            </w:r>
            <w:r>
              <w:t>~3</w:t>
            </w:r>
            <w:r>
              <w:rPr>
                <w:rFonts w:hint="eastAsia"/>
              </w:rPr>
              <w:t>2</w:t>
            </w:r>
            <w:r>
              <w:t>0mg/L</w:t>
            </w:r>
          </w:p>
          <w:p>
            <w:pPr>
              <w:spacing w:line="0" w:lineRule="atLeast"/>
            </w:pPr>
            <w:r>
              <w:rPr>
                <w:rFonts w:hint="eastAsia"/>
              </w:rPr>
              <w:t>★12.</w:t>
            </w:r>
            <w:r>
              <w:t>CRP携带污染：≤1.0%</w:t>
            </w:r>
          </w:p>
          <w:p>
            <w:pPr>
              <w:spacing w:line="0" w:lineRule="atLeast"/>
            </w:pPr>
            <w:r>
              <w:rPr>
                <w:rFonts w:hint="eastAsia"/>
              </w:rPr>
              <w:t>13.</w:t>
            </w:r>
            <w:r>
              <w:t>具有原厂配套的试剂、校准品、质控品</w:t>
            </w:r>
            <w:r>
              <w:rPr>
                <w:rFonts w:hint="eastAsia"/>
              </w:rPr>
              <w:t>（需提供原厂配套血球和CRP检测校准品和质控品注册证）</w:t>
            </w:r>
            <w:r>
              <w:t>，并提供校准品溯源性文件</w:t>
            </w:r>
          </w:p>
        </w:tc>
        <w:tc>
          <w:tcPr>
            <w:tcW w:w="736" w:type="dxa"/>
            <w:vAlign w:val="center"/>
          </w:tcPr>
          <w:p>
            <w:pPr>
              <w:spacing w:after="120" w:line="0" w:lineRule="atLeast"/>
              <w:jc w:val="center"/>
            </w:pPr>
            <w:r>
              <w:t>一套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41" w:type="dxa"/>
            <w:vAlign w:val="center"/>
          </w:tcPr>
          <w:p>
            <w:pPr>
              <w:spacing w:after="120" w:line="0" w:lineRule="atLeast"/>
              <w:jc w:val="center"/>
            </w:pPr>
            <w:r>
              <w:rPr>
                <w:rFonts w:hint="eastAsia"/>
              </w:rPr>
              <w:t>3</w:t>
            </w:r>
          </w:p>
        </w:tc>
        <w:tc>
          <w:tcPr>
            <w:tcW w:w="1134" w:type="dxa"/>
            <w:vAlign w:val="center"/>
          </w:tcPr>
          <w:p>
            <w:pPr>
              <w:spacing w:after="120" w:line="0" w:lineRule="atLeast"/>
              <w:jc w:val="center"/>
            </w:pPr>
          </w:p>
          <w:p>
            <w:pPr>
              <w:spacing w:after="120" w:line="0" w:lineRule="atLeast"/>
              <w:jc w:val="center"/>
            </w:pPr>
          </w:p>
          <w:p>
            <w:pPr>
              <w:spacing w:after="120" w:line="0" w:lineRule="atLeast"/>
              <w:jc w:val="center"/>
            </w:pPr>
          </w:p>
          <w:p>
            <w:pPr>
              <w:spacing w:after="120" w:line="0" w:lineRule="atLeast"/>
              <w:jc w:val="center"/>
            </w:pPr>
          </w:p>
          <w:p>
            <w:pPr>
              <w:spacing w:after="120" w:line="0" w:lineRule="atLeast"/>
              <w:jc w:val="center"/>
            </w:pPr>
            <w:r>
              <w:t>全自动干化学尿液分析仪</w:t>
            </w:r>
          </w:p>
        </w:tc>
        <w:tc>
          <w:tcPr>
            <w:tcW w:w="6125" w:type="dxa"/>
          </w:tcPr>
          <w:p>
            <w:pPr>
              <w:spacing w:line="0" w:lineRule="atLeast"/>
              <w:rPr>
                <w:rFonts w:hAnsi="宋体"/>
                <w:bCs/>
              </w:rPr>
            </w:pPr>
            <w:r>
              <w:rPr>
                <w:rFonts w:hint="eastAsia" w:ascii="宋体" w:hAnsi="宋体"/>
                <w:bCs/>
              </w:rPr>
              <w:t>1.产品要求</w:t>
            </w:r>
            <w:r>
              <w:rPr>
                <w:bCs/>
              </w:rPr>
              <w:t>：</w:t>
            </w:r>
            <w:r>
              <w:rPr>
                <w:rFonts w:hint="eastAsia" w:ascii="宋体" w:hAnsi="宋体" w:cs="宋体"/>
                <w:bCs/>
                <w:color w:val="000000"/>
              </w:rPr>
              <w:t>一次采样，即可</w:t>
            </w:r>
            <w:r>
              <w:rPr>
                <w:rFonts w:hint="eastAsia" w:ascii="宋体" w:hAnsi="宋体" w:cs="宋体"/>
                <w:bCs/>
              </w:rPr>
              <w:t>完成尿液样本的常规分析以及有形成分的定量、定性分析。</w:t>
            </w:r>
          </w:p>
          <w:p>
            <w:pPr>
              <w:spacing w:line="0" w:lineRule="atLeast"/>
              <w:rPr>
                <w:rFonts w:hAnsi="宋体"/>
                <w:bCs/>
              </w:rPr>
            </w:pPr>
            <w:r>
              <w:rPr>
                <w:rFonts w:hint="eastAsia"/>
              </w:rPr>
              <w:t>★</w:t>
            </w:r>
            <w:r>
              <w:rPr>
                <w:rFonts w:hint="eastAsia"/>
                <w:bCs/>
              </w:rPr>
              <w:t>2.检测速度</w:t>
            </w:r>
            <w:r>
              <w:rPr>
                <w:bCs/>
              </w:rPr>
              <w:t>：</w:t>
            </w:r>
            <w:r>
              <w:rPr>
                <w:rFonts w:hint="eastAsia" w:hAnsi="宋体"/>
                <w:bCs/>
              </w:rPr>
              <w:t>干化学测试模式</w:t>
            </w:r>
            <w:r>
              <w:rPr>
                <w:rFonts w:hint="eastAsia" w:ascii="宋体" w:hAnsi="宋体"/>
                <w:bCs/>
              </w:rPr>
              <w:t>≥</w:t>
            </w:r>
            <w:r>
              <w:rPr>
                <w:rFonts w:hint="eastAsia" w:hAnsi="宋体"/>
                <w:bCs/>
              </w:rPr>
              <w:t>300个/每小时；有形成分测试模式</w:t>
            </w:r>
            <w:r>
              <w:rPr>
                <w:rFonts w:hint="eastAsia" w:ascii="宋体" w:hAnsi="宋体"/>
                <w:bCs/>
              </w:rPr>
              <w:t>≥</w:t>
            </w:r>
            <w:r>
              <w:rPr>
                <w:rFonts w:hint="eastAsia" w:hAnsi="宋体"/>
                <w:bCs/>
              </w:rPr>
              <w:t>120个/每小时；联合测试模式</w:t>
            </w:r>
            <w:r>
              <w:rPr>
                <w:rFonts w:hint="eastAsia" w:ascii="宋体" w:hAnsi="宋体"/>
                <w:bCs/>
              </w:rPr>
              <w:t>≥</w:t>
            </w:r>
            <w:r>
              <w:rPr>
                <w:rFonts w:hint="eastAsia" w:hAnsi="宋体"/>
                <w:bCs/>
              </w:rPr>
              <w:t>120个/每小时</w:t>
            </w:r>
          </w:p>
          <w:p>
            <w:pPr>
              <w:spacing w:line="0" w:lineRule="atLeast"/>
              <w:rPr>
                <w:rFonts w:ascii="宋体" w:hAnsi="宋体"/>
                <w:bCs/>
              </w:rPr>
            </w:pPr>
            <w:r>
              <w:rPr>
                <w:rFonts w:hint="eastAsia" w:ascii="宋体" w:hAnsi="宋体"/>
                <w:bCs/>
              </w:rPr>
              <w:t>3.测试原理：尿干化学采用图像传感器、反射光电比色法，检测波长数量≥5</w:t>
            </w:r>
          </w:p>
          <w:p>
            <w:pPr>
              <w:spacing w:line="0" w:lineRule="atLeast"/>
              <w:rPr>
                <w:rFonts w:ascii="宋体" w:hAnsi="宋体"/>
                <w:bCs/>
              </w:rPr>
            </w:pPr>
            <w:r>
              <w:rPr>
                <w:rFonts w:hint="eastAsia" w:ascii="宋体" w:hAnsi="宋体"/>
                <w:bCs/>
              </w:rPr>
              <w:t>个；尿有形成分分析采用平面鞘流及数字成像自动识别技术</w:t>
            </w:r>
          </w:p>
          <w:p>
            <w:pPr>
              <w:spacing w:line="0" w:lineRule="atLeast"/>
            </w:pPr>
            <w:r>
              <w:rPr>
                <w:rFonts w:hint="eastAsia"/>
              </w:rPr>
              <w:t>4.</w:t>
            </w:r>
            <w:r>
              <w:t>红细胞位相检测</w:t>
            </w:r>
            <w:r>
              <w:rPr>
                <w:rFonts w:hint="eastAsia"/>
              </w:rPr>
              <w:t>：</w:t>
            </w:r>
            <w:r>
              <w:t>可通过红细胞形态的鉴定发出红细胞位相报告</w:t>
            </w:r>
            <w:r>
              <w:rPr>
                <w:rFonts w:hint="eastAsia"/>
              </w:rPr>
              <w:t>，</w:t>
            </w:r>
            <w:r>
              <w:t>可提供</w:t>
            </w:r>
            <w:r>
              <w:rPr>
                <w:rFonts w:hint="eastAsia"/>
              </w:rPr>
              <w:t>4项报告参数。</w:t>
            </w:r>
          </w:p>
          <w:p>
            <w:pPr>
              <w:spacing w:line="0" w:lineRule="atLeast"/>
            </w:pPr>
            <w:r>
              <w:rPr>
                <w:rFonts w:hint="eastAsia"/>
              </w:rPr>
              <w:t>5.图像显示功能</w:t>
            </w:r>
            <w:r>
              <w:t>：</w:t>
            </w:r>
            <w:r>
              <w:rPr>
                <w:rFonts w:hint="eastAsia" w:ascii="宋体" w:hAnsi="宋体"/>
              </w:rPr>
              <w:t>可显示并存储在加入样本反应后的尿试纸条图像，及有形成份的真实图像，用于结果审核与查阅等方面。</w:t>
            </w:r>
          </w:p>
          <w:p>
            <w:pPr>
              <w:spacing w:line="0" w:lineRule="atLeast"/>
            </w:pPr>
            <w:r>
              <w:rPr>
                <w:rFonts w:hint="eastAsia"/>
              </w:rPr>
              <w:t>6.检测项目：干化学测试项目≥14项，并提供微量白蛋白和肌酐的比值参数。</w:t>
            </w:r>
          </w:p>
          <w:p>
            <w:pPr>
              <w:spacing w:line="0" w:lineRule="atLeast"/>
            </w:pPr>
            <w:r>
              <w:rPr>
                <w:rFonts w:hint="eastAsia"/>
              </w:rPr>
              <w:t>（ACR比值）；有形成分自动识别测试项目≥14项；</w:t>
            </w:r>
          </w:p>
          <w:p>
            <w:pPr>
              <w:spacing w:line="0" w:lineRule="atLeast"/>
            </w:pPr>
            <w:r>
              <w:rPr>
                <w:rFonts w:hint="eastAsia"/>
              </w:rPr>
              <w:t>理学：颜色（RGB三原色法）、浊度（散色法）、比重共计3项结果。</w:t>
            </w:r>
          </w:p>
          <w:p>
            <w:pPr>
              <w:spacing w:line="0" w:lineRule="atLeast"/>
            </w:pPr>
            <w:r>
              <w:rPr>
                <w:rFonts w:hint="eastAsia"/>
              </w:rPr>
              <w:t>★</w:t>
            </w:r>
            <w:r>
              <w:rPr>
                <w:rFonts w:hint="eastAsia" w:ascii="Segoe UI Symbol" w:hAnsi="Segoe UI Symbol" w:cs="Segoe UI Symbol"/>
              </w:rPr>
              <w:t>7.</w:t>
            </w:r>
            <w:r>
              <w:rPr>
                <w:rFonts w:hint="eastAsia"/>
              </w:rPr>
              <w:t>急诊测试：可进行单个样本的急诊测试。</w:t>
            </w:r>
          </w:p>
          <w:p>
            <w:pPr>
              <w:spacing w:line="0" w:lineRule="atLeast"/>
            </w:pPr>
            <w:r>
              <w:rPr>
                <w:rFonts w:hint="eastAsia" w:ascii="宋体" w:hAnsi="宋体" w:cs="宋体"/>
              </w:rPr>
              <w:t>8.样本需求量</w:t>
            </w:r>
            <w:r>
              <w:t>：</w:t>
            </w:r>
            <w:r>
              <w:rPr>
                <w:rFonts w:hint="eastAsia" w:ascii="宋体" w:hAnsi="宋体" w:cs="宋体"/>
              </w:rPr>
              <w:t>干化学测试模式</w:t>
            </w:r>
            <w:r>
              <w:rPr>
                <w:rFonts w:hint="eastAsia" w:ascii="宋体" w:hAnsi="宋体"/>
              </w:rPr>
              <w:t>≥</w:t>
            </w:r>
            <w:r>
              <w:rPr>
                <w:rFonts w:hint="eastAsia" w:ascii="宋体" w:hAnsi="宋体" w:cs="宋体"/>
              </w:rPr>
              <w:t>1.5mL；有形成分测试模式</w:t>
            </w:r>
            <w:r>
              <w:rPr>
                <w:rFonts w:hint="eastAsia" w:ascii="宋体" w:hAnsi="宋体"/>
              </w:rPr>
              <w:t>≥</w:t>
            </w:r>
            <w:r>
              <w:rPr>
                <w:rFonts w:hint="eastAsia" w:ascii="宋体" w:hAnsi="宋体" w:cs="宋体"/>
              </w:rPr>
              <w:t>2mL，联合测试模式</w:t>
            </w:r>
            <w:r>
              <w:rPr>
                <w:rFonts w:hint="eastAsia" w:ascii="宋体" w:hAnsi="宋体"/>
              </w:rPr>
              <w:t>≥</w:t>
            </w:r>
            <w:r>
              <w:rPr>
                <w:rFonts w:hint="eastAsia" w:ascii="宋体" w:hAnsi="宋体" w:cs="宋体"/>
              </w:rPr>
              <w:t>2mL。</w:t>
            </w:r>
          </w:p>
          <w:p>
            <w:pPr>
              <w:spacing w:line="0" w:lineRule="atLeast"/>
            </w:pPr>
            <w:r>
              <w:rPr>
                <w:rFonts w:hint="eastAsia"/>
              </w:rPr>
              <w:t>9.样本处理</w:t>
            </w:r>
            <w:r>
              <w:t>：</w:t>
            </w:r>
            <w:r>
              <w:rPr>
                <w:rFonts w:hint="eastAsia"/>
              </w:rPr>
              <w:t>无需离心及等待粒子沉降，无需特殊染色。</w:t>
            </w:r>
          </w:p>
          <w:p>
            <w:pPr>
              <w:spacing w:line="0" w:lineRule="atLeast"/>
            </w:pPr>
            <w:r>
              <w:rPr>
                <w:rFonts w:hint="eastAsia"/>
              </w:rPr>
              <w:t>10.</w:t>
            </w:r>
            <w:r>
              <w:rPr>
                <w:rFonts w:hint="eastAsia" w:ascii="宋体" w:hAnsi="宋体" w:cs="宋体"/>
              </w:rPr>
              <w:t>样本放置位：</w:t>
            </w:r>
            <w:r>
              <w:rPr>
                <w:rFonts w:hint="eastAsia" w:ascii="宋体" w:hAnsi="宋体"/>
              </w:rPr>
              <w:t>≥</w:t>
            </w:r>
            <w:r>
              <w:rPr>
                <w:rFonts w:hint="eastAsia"/>
              </w:rPr>
              <w:t>200个样本。</w:t>
            </w:r>
          </w:p>
          <w:p>
            <w:pPr>
              <w:spacing w:line="0" w:lineRule="atLeast"/>
            </w:pPr>
            <w:r>
              <w:rPr>
                <w:rFonts w:hint="eastAsia"/>
              </w:rPr>
              <w:t>11.</w:t>
            </w:r>
            <w:r>
              <w:rPr>
                <w:rFonts w:hint="eastAsia" w:ascii="宋体" w:hAnsi="宋体" w:cs="宋体"/>
              </w:rPr>
              <w:t>试纸仓容量</w:t>
            </w:r>
            <w:r>
              <w:t>：</w:t>
            </w:r>
            <w:r>
              <w:rPr>
                <w:rFonts w:hint="eastAsia" w:ascii="宋体" w:hAnsi="宋体"/>
              </w:rPr>
              <w:t>≥</w:t>
            </w:r>
            <w:r>
              <w:rPr>
                <w:rFonts w:hint="eastAsia" w:ascii="宋体" w:hAnsi="宋体" w:cs="宋体"/>
              </w:rPr>
              <w:t>500条试纸。</w:t>
            </w:r>
          </w:p>
          <w:p>
            <w:pPr>
              <w:numPr>
                <w:ilvl w:val="0"/>
                <w:numId w:val="2"/>
              </w:numPr>
              <w:spacing w:line="0" w:lineRule="atLeast"/>
            </w:pPr>
            <w:r>
              <w:rPr>
                <w:rFonts w:hint="eastAsia"/>
              </w:rPr>
              <w:t>有形成分拍图量</w:t>
            </w:r>
            <w:r>
              <w:t>：</w:t>
            </w:r>
            <w:r>
              <w:rPr>
                <w:rFonts w:hint="eastAsia" w:ascii="宋体" w:hAnsi="宋体"/>
              </w:rPr>
              <w:t>≥</w:t>
            </w:r>
            <w:r>
              <w:rPr>
                <w:rFonts w:hint="eastAsia"/>
              </w:rPr>
              <w:t>2000帧/样本。</w:t>
            </w:r>
          </w:p>
          <w:p>
            <w:pPr>
              <w:numPr>
                <w:ilvl w:val="0"/>
                <w:numId w:val="2"/>
              </w:numPr>
              <w:spacing w:line="0" w:lineRule="atLeast"/>
            </w:pPr>
            <w:r>
              <w:rPr>
                <w:rFonts w:hint="eastAsia"/>
              </w:rPr>
              <w:t>原图查询功能：</w:t>
            </w:r>
            <w:r>
              <w:rPr>
                <w:rFonts w:hint="eastAsia" w:ascii="宋体" w:hAnsi="宋体"/>
              </w:rPr>
              <w:t>可显示并存储有形成份的真实</w:t>
            </w:r>
            <w:r>
              <w:t>全景图片</w:t>
            </w:r>
            <w:r>
              <w:rPr>
                <w:rFonts w:hint="eastAsia"/>
              </w:rPr>
              <w:t>。</w:t>
            </w:r>
          </w:p>
          <w:p>
            <w:pPr>
              <w:numPr>
                <w:ilvl w:val="0"/>
                <w:numId w:val="2"/>
              </w:numPr>
              <w:spacing w:line="0" w:lineRule="atLeast"/>
            </w:pPr>
            <w:r>
              <w:rPr>
                <w:rFonts w:hint="eastAsia"/>
              </w:rPr>
              <w:t>存储与</w:t>
            </w:r>
            <w:r>
              <w:t>查询</w:t>
            </w:r>
            <w:r>
              <w:rPr>
                <w:rFonts w:hint="eastAsia"/>
              </w:rPr>
              <w:t>：</w:t>
            </w:r>
            <w:r>
              <w:rPr>
                <w:rFonts w:hint="eastAsia" w:ascii="宋体" w:hAnsi="宋体"/>
              </w:rPr>
              <w:t>≥40</w:t>
            </w:r>
            <w:r>
              <w:rPr>
                <w:rFonts w:hint="eastAsia"/>
              </w:rPr>
              <w:t>万个结果，可实时查询，断电后存储数据不丢失。</w:t>
            </w:r>
          </w:p>
          <w:p>
            <w:pPr>
              <w:numPr>
                <w:ilvl w:val="0"/>
                <w:numId w:val="2"/>
              </w:numPr>
              <w:spacing w:after="120" w:line="0" w:lineRule="atLeast"/>
            </w:pPr>
            <w:r>
              <w:rPr>
                <w:rFonts w:hint="eastAsia"/>
              </w:rPr>
              <w:t>输入输出</w:t>
            </w:r>
            <w:r>
              <w:t>端口</w:t>
            </w:r>
            <w:r>
              <w:rPr>
                <w:rFonts w:hint="eastAsia"/>
              </w:rPr>
              <w:t>：具备鼠标接口、键盘接口、USB接口、串口、网络接口、视频输出口、音频输出口。</w:t>
            </w:r>
          </w:p>
          <w:p>
            <w:pPr>
              <w:keepNext/>
              <w:keepLines/>
              <w:numPr>
                <w:ilvl w:val="0"/>
                <w:numId w:val="2"/>
              </w:numPr>
              <w:spacing w:line="0" w:lineRule="atLeast"/>
              <w:outlineLvl w:val="2"/>
              <w:rPr>
                <w:rFonts w:ascii="Times New Roman" w:hAnsi="Times New Roman" w:eastAsia="宋体" w:cs="Times New Roman"/>
                <w:kern w:val="0"/>
                <w:sz w:val="24"/>
                <w:szCs w:val="32"/>
              </w:rPr>
            </w:pPr>
            <w:r>
              <w:rPr>
                <w:rFonts w:hint="eastAsia" w:ascii="Times New Roman" w:hAnsi="Times New Roman" w:eastAsia="宋体" w:cs="Times New Roman"/>
                <w:kern w:val="0"/>
                <w:sz w:val="24"/>
                <w:szCs w:val="32"/>
              </w:rPr>
              <w:t>试管位号与试管架号自动检测：分析系统可自动识别试管位号与试管架号。</w:t>
            </w:r>
          </w:p>
          <w:p>
            <w:pPr>
              <w:numPr>
                <w:ilvl w:val="0"/>
                <w:numId w:val="2"/>
              </w:numPr>
              <w:spacing w:after="120" w:line="0" w:lineRule="atLeast"/>
            </w:pPr>
            <w:r>
              <w:rPr>
                <w:rFonts w:hint="eastAsia"/>
              </w:rPr>
              <w:t>支持条码识别：可内置条形码扫描器识别条形码</w:t>
            </w:r>
          </w:p>
          <w:p>
            <w:pPr>
              <w:numPr>
                <w:ilvl w:val="0"/>
                <w:numId w:val="2"/>
              </w:numPr>
              <w:spacing w:after="120" w:line="0" w:lineRule="atLeast"/>
            </w:pPr>
            <w:r>
              <w:rPr>
                <w:rFonts w:hint="eastAsia"/>
              </w:rPr>
              <w:t>样本量检测：采用液面感应技术，当测试样本量不足时有报警提示。</w:t>
            </w:r>
          </w:p>
          <w:p>
            <w:pPr>
              <w:spacing w:after="120" w:line="0" w:lineRule="atLeast"/>
            </w:pPr>
            <w:r>
              <w:rPr>
                <w:rFonts w:hint="eastAsia" w:ascii="Segoe UI Symbol" w:hAnsi="Segoe UI Symbol" w:cs="Segoe UI Symbol"/>
              </w:rPr>
              <w:t>19.</w:t>
            </w:r>
            <w:r>
              <w:rPr>
                <w:rFonts w:hint="eastAsia"/>
              </w:rPr>
              <w:t>识别率：有形成分识别率</w:t>
            </w:r>
            <w:r>
              <w:rPr>
                <w:rFonts w:hint="eastAsia" w:ascii="宋体" w:hAnsi="宋体" w:cs="宋体"/>
              </w:rPr>
              <w:t>红细胞≥92%、白细胞≥88%、管型≥85%。</w:t>
            </w:r>
          </w:p>
        </w:tc>
        <w:tc>
          <w:tcPr>
            <w:tcW w:w="736" w:type="dxa"/>
            <w:vAlign w:val="center"/>
          </w:tcPr>
          <w:p>
            <w:pPr>
              <w:spacing w:after="120" w:line="0" w:lineRule="atLeast"/>
              <w:jc w:val="center"/>
            </w:pPr>
            <w:r>
              <w:t>一套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41" w:type="dxa"/>
            <w:vAlign w:val="center"/>
          </w:tcPr>
          <w:p>
            <w:pPr>
              <w:spacing w:after="120" w:line="0" w:lineRule="atLeast"/>
              <w:jc w:val="center"/>
            </w:pPr>
            <w:r>
              <w:rPr>
                <w:rFonts w:hint="eastAsia"/>
              </w:rPr>
              <w:t>4</w:t>
            </w:r>
          </w:p>
        </w:tc>
        <w:tc>
          <w:tcPr>
            <w:tcW w:w="1134" w:type="dxa"/>
            <w:vAlign w:val="center"/>
          </w:tcPr>
          <w:p>
            <w:pPr>
              <w:spacing w:after="120" w:line="0" w:lineRule="atLeast"/>
              <w:jc w:val="center"/>
            </w:pPr>
            <w:r>
              <w:t>全自动粪便分析仪</w:t>
            </w:r>
          </w:p>
        </w:tc>
        <w:tc>
          <w:tcPr>
            <w:tcW w:w="6125" w:type="dxa"/>
          </w:tcPr>
          <w:p>
            <w:pPr>
              <w:spacing w:after="120" w:line="0" w:lineRule="atLeast"/>
            </w:pPr>
            <w:r>
              <w:rPr>
                <w:rFonts w:hint="eastAsia"/>
              </w:rPr>
              <w:t>1、全程密闭采样</w:t>
            </w:r>
            <w:r>
              <w:t>管</w:t>
            </w:r>
            <w:r>
              <w:rPr>
                <w:rFonts w:hint="eastAsia"/>
              </w:rPr>
              <w:t>，采样旋紧后无渗漏，方便院内标本运送</w:t>
            </w:r>
            <w:r>
              <w:t>；采集管硅胶盖由仪器检测针穿刺后仍保持全密闭，确保</w:t>
            </w:r>
            <w:r>
              <w:rPr>
                <w:rFonts w:hint="eastAsia"/>
              </w:rPr>
              <w:t>样本分析前、分析中、分析后无异味和生物安全；</w:t>
            </w:r>
          </w:p>
          <w:p>
            <w:pPr>
              <w:spacing w:after="120" w:line="0" w:lineRule="atLeast"/>
            </w:pPr>
            <w:r>
              <w:rPr>
                <w:rFonts w:hint="eastAsia"/>
              </w:rPr>
              <w:t>2、吸样针倒置上穿刺</w:t>
            </w:r>
            <w:r>
              <w:t>“</w:t>
            </w:r>
            <w:r>
              <w:rPr>
                <w:rFonts w:hint="eastAsia"/>
              </w:rPr>
              <w:t>三明治</w:t>
            </w:r>
            <w:r>
              <w:t>”</w:t>
            </w:r>
            <w:r>
              <w:rPr>
                <w:rFonts w:hint="eastAsia"/>
              </w:rPr>
              <w:t>式定量吸样，样本架循环轨道式流水进样，单次最大可放50个采样管，金标卡自动加卡、自动抛弃</w:t>
            </w:r>
          </w:p>
          <w:p>
            <w:pPr>
              <w:spacing w:after="120" w:line="0" w:lineRule="atLeast"/>
            </w:pPr>
            <w:r>
              <w:rPr>
                <w:rFonts w:hint="eastAsia"/>
              </w:rPr>
              <w:t>★</w:t>
            </w:r>
            <w:r>
              <w:t>3</w:t>
            </w:r>
            <w:r>
              <w:rPr>
                <w:rFonts w:hint="eastAsia"/>
              </w:rPr>
              <w:t>、双通道检测，沉淀时间可调；</w:t>
            </w:r>
          </w:p>
          <w:p>
            <w:pPr>
              <w:spacing w:after="120" w:line="0" w:lineRule="atLeast"/>
            </w:pPr>
            <w:r>
              <w:rPr>
                <w:rFonts w:hint="eastAsia"/>
              </w:rPr>
              <w:t>4、高频往复气动混匀，无损标本细胞形态，混匀次数可调，混匀废气排放到下水道，对实验室及人员无污染危害；</w:t>
            </w:r>
          </w:p>
          <w:p>
            <w:pPr>
              <w:spacing w:after="120" w:line="0" w:lineRule="atLeast"/>
            </w:pPr>
            <w:r>
              <w:rPr>
                <w:rFonts w:hint="eastAsia"/>
              </w:rPr>
              <w:t>5、适用于粪便有形成分检测、粪便隐血、粪转铁蛋白、轮状病毒等；</w:t>
            </w:r>
          </w:p>
          <w:p>
            <w:pPr>
              <w:spacing w:after="120" w:line="0" w:lineRule="atLeast"/>
            </w:pPr>
            <w:r>
              <w:rPr>
                <w:rFonts w:hint="eastAsia"/>
              </w:rPr>
              <w:t>★6、全自动数码显微立体扫描采集图像，每个视野高倍图像有5个断层，使每张图像都有一个焦距清晰；</w:t>
            </w:r>
          </w:p>
          <w:p>
            <w:pPr>
              <w:spacing w:after="120" w:line="0" w:lineRule="atLeast"/>
            </w:pPr>
            <w:r>
              <w:rPr>
                <w:rFonts w:hint="eastAsia"/>
              </w:rPr>
              <w:t>7、配图像初筛软件工作站，基于HOG（方向梯度直方图）和ANN(人工神经网络)计算机图像识别技术，对采集的高倍图像可自动标记提示可疑真菌、红、白细胞等，提高人工终审图片效率；</w:t>
            </w:r>
          </w:p>
          <w:p>
            <w:pPr>
              <w:spacing w:after="120" w:line="0" w:lineRule="atLeast"/>
            </w:pPr>
            <w:r>
              <w:rPr>
                <w:rFonts w:hint="eastAsia"/>
              </w:rPr>
              <w:t xml:space="preserve"> 8、提供粪便有形成分低倍镜和高倍镜全景视野图；</w:t>
            </w:r>
          </w:p>
          <w:p>
            <w:pPr>
              <w:spacing w:after="120" w:line="0" w:lineRule="atLeast"/>
            </w:pPr>
            <w:r>
              <w:rPr>
                <w:rFonts w:hint="eastAsia"/>
              </w:rPr>
              <w:t xml:space="preserve"> 9、病员采样旋紧后到检测结束抛弃标本管，全程密闭操作，无异味，确保生物安全；</w:t>
            </w:r>
          </w:p>
          <w:p>
            <w:pPr>
              <w:spacing w:after="120" w:line="0" w:lineRule="atLeast"/>
            </w:pPr>
            <w:r>
              <w:rPr>
                <w:rFonts w:hint="eastAsia"/>
              </w:rPr>
              <w:t>10、厂家具有自产配套试剂，以及配套粪便形态学质控品、粪便隐血质控品、粪便转铁质控品等。</w:t>
            </w:r>
          </w:p>
          <w:p>
            <w:pPr>
              <w:spacing w:after="120" w:line="0" w:lineRule="atLeast"/>
            </w:pPr>
          </w:p>
        </w:tc>
        <w:tc>
          <w:tcPr>
            <w:tcW w:w="736" w:type="dxa"/>
            <w:vAlign w:val="center"/>
          </w:tcPr>
          <w:p>
            <w:pPr>
              <w:spacing w:after="120" w:line="0" w:lineRule="atLeast"/>
              <w:jc w:val="center"/>
            </w:pPr>
            <w:r>
              <w:t>一套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41" w:type="dxa"/>
            <w:vAlign w:val="center"/>
          </w:tcPr>
          <w:p>
            <w:pPr>
              <w:spacing w:after="120" w:line="0" w:lineRule="atLeast"/>
              <w:jc w:val="center"/>
            </w:pPr>
            <w:r>
              <w:rPr>
                <w:rFonts w:hint="eastAsia"/>
              </w:rPr>
              <w:t>5</w:t>
            </w:r>
          </w:p>
        </w:tc>
        <w:tc>
          <w:tcPr>
            <w:tcW w:w="1134" w:type="dxa"/>
            <w:vAlign w:val="center"/>
          </w:tcPr>
          <w:p>
            <w:pPr>
              <w:spacing w:line="0" w:lineRule="atLeast"/>
              <w:jc w:val="center"/>
            </w:pPr>
            <w:r>
              <w:t>血气分析仪</w:t>
            </w:r>
          </w:p>
        </w:tc>
        <w:tc>
          <w:tcPr>
            <w:tcW w:w="6125" w:type="dxa"/>
          </w:tcPr>
          <w:p>
            <w:pPr>
              <w:spacing w:line="0" w:lineRule="atLeast"/>
            </w:pPr>
            <w:r>
              <w:rPr>
                <w:rFonts w:hint="eastAsia"/>
              </w:rPr>
              <w:t>1.测量项目：血气电解质等10个参数,pH、PCO2、PO2、Na+、K+、CL-、Ca</w:t>
            </w:r>
            <w:r>
              <w:t>2+</w:t>
            </w:r>
            <w:r>
              <w:rPr>
                <w:rFonts w:hint="eastAsia"/>
              </w:rPr>
              <w:t>、Glu、Lac、Hct。</w:t>
            </w:r>
          </w:p>
          <w:p>
            <w:pPr>
              <w:spacing w:line="0" w:lineRule="atLeast"/>
            </w:pPr>
            <w:r>
              <w:rPr>
                <w:rFonts w:hint="eastAsia"/>
              </w:rPr>
              <w:t>★2.计算项目：pH(TC)、PCO2(TC)、PO2(TC)、HCO3、SBC、BE、BEecf、TCO2、sO2%、P50、AG、A-aDO2、TCa、nCa、Rl、THb(c) 等测量项目和计算项目＞25项</w:t>
            </w:r>
          </w:p>
          <w:p>
            <w:pPr>
              <w:spacing w:line="0" w:lineRule="atLeast"/>
            </w:pPr>
            <w:r>
              <w:rPr>
                <w:rFonts w:hint="eastAsia"/>
              </w:rPr>
              <w:t>3.内置不间断电源，断电后满足1小时以上的工作时间</w:t>
            </w:r>
          </w:p>
          <w:p>
            <w:pPr>
              <w:spacing w:line="0" w:lineRule="atLeast"/>
            </w:pPr>
            <w:r>
              <w:rPr>
                <w:rFonts w:hint="eastAsia"/>
              </w:rPr>
              <w:t>4、同时支持注射器和毛细管测量</w:t>
            </w:r>
          </w:p>
          <w:p>
            <w:pPr>
              <w:spacing w:after="120" w:line="0" w:lineRule="atLeast"/>
            </w:pPr>
            <w:r>
              <w:rPr>
                <w:rFonts w:hint="eastAsia"/>
              </w:rPr>
              <w:t>★5、样本量：全血小于等于150uL，毛细管最低采血量小于等于50uL</w:t>
            </w:r>
          </w:p>
          <w:p>
            <w:pPr>
              <w:spacing w:after="120" w:line="0" w:lineRule="atLeast"/>
            </w:pPr>
            <w:r>
              <w:rPr>
                <w:rFonts w:hint="eastAsia"/>
              </w:rPr>
              <w:t>7、内置酸碱平衡自动智能分析系统</w:t>
            </w:r>
          </w:p>
          <w:p>
            <w:pPr>
              <w:spacing w:after="120" w:line="0" w:lineRule="atLeast"/>
            </w:pPr>
            <w:r>
              <w:rPr>
                <w:rFonts w:hint="eastAsia"/>
              </w:rPr>
              <w:t>8、样品、试剂预热功能</w:t>
            </w:r>
          </w:p>
          <w:p>
            <w:pPr>
              <w:spacing w:after="120" w:line="0" w:lineRule="atLeast"/>
            </w:pPr>
            <w:r>
              <w:rPr>
                <w:rFonts w:hint="eastAsia"/>
              </w:rPr>
              <w:t>9、进样器的选择：自动识别注射器和毛细管，无需适配器</w:t>
            </w:r>
          </w:p>
          <w:p>
            <w:pPr>
              <w:spacing w:after="120" w:line="0" w:lineRule="atLeast"/>
            </w:pPr>
            <w:r>
              <w:rPr>
                <w:rFonts w:hint="eastAsia"/>
              </w:rPr>
              <w:t>10、配套原厂的血气质控</w:t>
            </w:r>
          </w:p>
          <w:p>
            <w:pPr>
              <w:spacing w:after="120" w:line="0" w:lineRule="atLeast"/>
            </w:pPr>
            <w:r>
              <w:rPr>
                <w:rFonts w:hint="eastAsia"/>
              </w:rPr>
              <w:t>11、有人体红外探测功能</w:t>
            </w:r>
          </w:p>
          <w:p>
            <w:pPr>
              <w:spacing w:after="120" w:line="0" w:lineRule="atLeast"/>
            </w:pPr>
            <w:r>
              <w:rPr>
                <w:rFonts w:hint="eastAsia"/>
              </w:rPr>
              <w:t>12.进样方式：全自动进样，能自动检测并排除小气泡和微血凝块</w:t>
            </w:r>
          </w:p>
          <w:p>
            <w:pPr>
              <w:spacing w:line="0" w:lineRule="atLeast"/>
            </w:pPr>
            <w:r>
              <w:rPr>
                <w:rFonts w:hint="eastAsia"/>
              </w:rPr>
              <w:t>13. 内存：主机可自动储存大于5000份历史样本完整信息，存储容量可扩展</w:t>
            </w:r>
          </w:p>
        </w:tc>
        <w:tc>
          <w:tcPr>
            <w:tcW w:w="736" w:type="dxa"/>
            <w:vAlign w:val="center"/>
          </w:tcPr>
          <w:p>
            <w:pPr>
              <w:spacing w:after="120" w:line="0" w:lineRule="atLeast"/>
              <w:jc w:val="center"/>
            </w:pPr>
            <w:r>
              <w:t>一套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41" w:type="dxa"/>
            <w:vAlign w:val="center"/>
          </w:tcPr>
          <w:p>
            <w:pPr>
              <w:spacing w:after="120" w:line="0" w:lineRule="atLeast"/>
              <w:jc w:val="center"/>
            </w:pPr>
            <w:r>
              <w:rPr>
                <w:rFonts w:hint="eastAsia"/>
              </w:rPr>
              <w:t>6</w:t>
            </w:r>
          </w:p>
        </w:tc>
        <w:tc>
          <w:tcPr>
            <w:tcW w:w="1134" w:type="dxa"/>
            <w:vAlign w:val="center"/>
          </w:tcPr>
          <w:p>
            <w:pPr>
              <w:spacing w:after="120" w:line="0" w:lineRule="atLeast"/>
              <w:jc w:val="center"/>
            </w:pPr>
            <w:r>
              <w:t>生物安全柜</w:t>
            </w:r>
          </w:p>
        </w:tc>
        <w:tc>
          <w:tcPr>
            <w:tcW w:w="6125" w:type="dxa"/>
          </w:tcPr>
          <w:p>
            <w:pPr>
              <w:spacing w:after="120" w:line="0" w:lineRule="atLeast"/>
            </w:pPr>
            <w:r>
              <w:rPr>
                <w:rFonts w:hint="eastAsia"/>
              </w:rPr>
              <w:t>1.分类：A2型，30%外排，70%循环</w:t>
            </w:r>
          </w:p>
          <w:p>
            <w:pPr>
              <w:spacing w:after="120" w:line="0" w:lineRule="atLeast"/>
            </w:pPr>
            <w:r>
              <w:rPr>
                <w:rFonts w:hint="eastAsia"/>
              </w:rPr>
              <w:t>2.风速</w:t>
            </w:r>
            <w:r>
              <w:t>：</w:t>
            </w:r>
            <w:r>
              <w:rPr>
                <w:rFonts w:hint="eastAsia"/>
              </w:rPr>
              <w:t xml:space="preserve"> 平均下降风速：</w:t>
            </w:r>
            <w:r>
              <w:t>0.3</w:t>
            </w:r>
            <w:r>
              <w:rPr>
                <w:rFonts w:hint="eastAsia"/>
              </w:rPr>
              <w:t>3±</w:t>
            </w:r>
            <w:r>
              <w:t>0.0</w:t>
            </w:r>
            <w:r>
              <w:rPr>
                <w:rFonts w:hint="eastAsia"/>
              </w:rPr>
              <w:t>2</w:t>
            </w:r>
            <w:r>
              <w:t>5m/s</w:t>
            </w:r>
            <w:r>
              <w:rPr>
                <w:rFonts w:hint="eastAsia"/>
              </w:rPr>
              <w:t>；</w:t>
            </w:r>
            <w:r>
              <w:t xml:space="preserve"> </w:t>
            </w:r>
            <w:r>
              <w:rPr>
                <w:rFonts w:hint="eastAsia"/>
              </w:rPr>
              <w:t>平均吸入口风速</w:t>
            </w:r>
            <w:r>
              <w:t>0.</w:t>
            </w:r>
            <w:r>
              <w:rPr>
                <w:rFonts w:hint="eastAsia"/>
              </w:rPr>
              <w:t>53±</w:t>
            </w:r>
            <w:r>
              <w:t>0.0</w:t>
            </w:r>
            <w:r>
              <w:rPr>
                <w:rFonts w:hint="eastAsia"/>
              </w:rPr>
              <w:t>2</w:t>
            </w:r>
            <w:r>
              <w:t>5m/s</w:t>
            </w:r>
          </w:p>
          <w:p>
            <w:pPr>
              <w:spacing w:after="120" w:line="0" w:lineRule="atLeast"/>
            </w:pPr>
            <w:r>
              <w:rPr>
                <w:rFonts w:hint="eastAsia"/>
              </w:rPr>
              <w:t>★3. 噪音等级：≤</w:t>
            </w:r>
            <w:r>
              <w:t>6</w:t>
            </w:r>
            <w:r>
              <w:rPr>
                <w:rFonts w:hint="eastAsia"/>
              </w:rPr>
              <w:t>5</w:t>
            </w:r>
            <w:r>
              <w:t>d</w:t>
            </w:r>
            <w:r>
              <w:rPr>
                <w:rFonts w:hint="eastAsia"/>
              </w:rPr>
              <w:t>B（A）</w:t>
            </w:r>
          </w:p>
          <w:p>
            <w:pPr>
              <w:spacing w:after="120" w:line="0" w:lineRule="atLeast"/>
            </w:pPr>
            <w:r>
              <w:rPr>
                <w:rFonts w:hint="eastAsia"/>
              </w:rPr>
              <w:t>4. 照明：</w:t>
            </w:r>
            <w:r>
              <w:t>≥</w:t>
            </w:r>
            <w:r>
              <w:rPr>
                <w:rFonts w:hint="eastAsia"/>
              </w:rPr>
              <w:t>1000lx</w:t>
            </w:r>
          </w:p>
          <w:p>
            <w:pPr>
              <w:spacing w:after="120" w:line="0" w:lineRule="atLeast"/>
            </w:pPr>
            <w:r>
              <w:rPr>
                <w:rFonts w:hint="eastAsia"/>
              </w:rPr>
              <w:t>★5. 过滤效率: 送风和排风过滤器均采用</w:t>
            </w:r>
            <w:r>
              <w:t>世界知名品牌的硼硅酸盐玻璃纤维材质的</w:t>
            </w:r>
            <w:r>
              <w:rPr>
                <w:rFonts w:hint="eastAsia"/>
              </w:rPr>
              <w:t>HEPA（ULPA）高效过滤器，对0.3μ</w:t>
            </w:r>
            <w:r>
              <w:t>m</w:t>
            </w:r>
            <w:r>
              <w:rPr>
                <w:rFonts w:hint="eastAsia"/>
              </w:rPr>
              <w:t>（</w:t>
            </w:r>
            <w:r>
              <w:t>0.</w:t>
            </w:r>
            <w:r>
              <w:rPr>
                <w:rFonts w:hint="eastAsia"/>
              </w:rPr>
              <w:t>12）颗粒过滤效率≥</w:t>
            </w:r>
            <w:r>
              <w:t>99.99</w:t>
            </w:r>
            <w:r>
              <w:rPr>
                <w:rFonts w:hint="eastAsia"/>
              </w:rPr>
              <w:t>9</w:t>
            </w:r>
            <w:r>
              <w:t>%</w:t>
            </w:r>
            <w:r>
              <w:rPr>
                <w:rFonts w:hint="eastAsia"/>
              </w:rPr>
              <w:t>（</w:t>
            </w:r>
            <w:r>
              <w:t>99.99</w:t>
            </w:r>
            <w:r>
              <w:rPr>
                <w:rFonts w:hint="eastAsia"/>
              </w:rPr>
              <w:t>95</w:t>
            </w:r>
            <w:r>
              <w:t>%</w:t>
            </w:r>
            <w:r>
              <w:rPr>
                <w:rFonts w:hint="eastAsia"/>
              </w:rPr>
              <w:t>）</w:t>
            </w:r>
          </w:p>
          <w:p>
            <w:pPr>
              <w:spacing w:after="120" w:line="0" w:lineRule="atLeast"/>
            </w:pPr>
            <w:r>
              <w:rPr>
                <w:rFonts w:hint="eastAsia"/>
              </w:rPr>
              <w:t>6．使用</w:t>
            </w:r>
            <w:r>
              <w:t>人数：</w:t>
            </w:r>
            <w:r>
              <w:rPr>
                <w:rFonts w:hint="eastAsia"/>
              </w:rPr>
              <w:t>单人</w:t>
            </w:r>
          </w:p>
          <w:p>
            <w:pPr>
              <w:spacing w:after="120" w:line="0" w:lineRule="atLeast"/>
            </w:pPr>
            <w:r>
              <w:rPr>
                <w:rFonts w:hint="eastAsia"/>
              </w:rPr>
              <w:t>7.人员安全性：用碘化钾（KI）法测试，前窗操作口的保护因子应不小于1×10</w:t>
            </w:r>
          </w:p>
          <w:p>
            <w:pPr>
              <w:spacing w:after="120" w:line="0" w:lineRule="atLeast"/>
            </w:pPr>
            <w:r>
              <w:rPr>
                <w:rFonts w:hint="eastAsia"/>
              </w:rPr>
              <w:t>8. ISO14001环境管理体系认证</w:t>
            </w:r>
          </w:p>
          <w:p>
            <w:pPr>
              <w:spacing w:after="120" w:line="0" w:lineRule="atLeast"/>
            </w:pPr>
            <w:r>
              <w:rPr>
                <w:rFonts w:hint="eastAsia"/>
              </w:rPr>
              <w:t>9．ISO13485及CE认证</w:t>
            </w:r>
          </w:p>
        </w:tc>
        <w:tc>
          <w:tcPr>
            <w:tcW w:w="736" w:type="dxa"/>
            <w:vAlign w:val="center"/>
          </w:tcPr>
          <w:p>
            <w:pPr>
              <w:spacing w:after="120" w:line="0" w:lineRule="atLeast"/>
              <w:jc w:val="center"/>
            </w:pPr>
            <w:r>
              <w:t>一套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41" w:type="dxa"/>
            <w:vAlign w:val="center"/>
          </w:tcPr>
          <w:p>
            <w:pPr>
              <w:spacing w:after="120" w:line="0" w:lineRule="atLeast"/>
              <w:jc w:val="center"/>
            </w:pPr>
            <w:r>
              <w:rPr>
                <w:rFonts w:hint="eastAsia"/>
              </w:rPr>
              <w:t>7</w:t>
            </w:r>
          </w:p>
        </w:tc>
        <w:tc>
          <w:tcPr>
            <w:tcW w:w="1134" w:type="dxa"/>
            <w:vAlign w:val="center"/>
          </w:tcPr>
          <w:p>
            <w:pPr>
              <w:spacing w:after="120" w:line="0" w:lineRule="atLeast"/>
              <w:jc w:val="center"/>
            </w:pPr>
            <w:r>
              <w:t>离心机</w:t>
            </w:r>
          </w:p>
        </w:tc>
        <w:tc>
          <w:tcPr>
            <w:tcW w:w="6125" w:type="dxa"/>
          </w:tcPr>
          <w:p>
            <w:pPr>
              <w:spacing w:line="0" w:lineRule="atLeast"/>
              <w:rPr>
                <w:rFonts w:ascii="Verdana" w:hAnsi="Verdana"/>
                <w:color w:val="000000"/>
                <w:szCs w:val="21"/>
              </w:rPr>
            </w:pPr>
            <w:r>
              <w:rPr>
                <w:rFonts w:hint="eastAsia" w:ascii="Verdana" w:hAnsi="Verdana"/>
                <w:color w:val="000000"/>
                <w:szCs w:val="21"/>
              </w:rPr>
              <w:t>1.</w:t>
            </w:r>
            <w:r>
              <w:rPr>
                <w:rFonts w:ascii="Verdana" w:hAnsi="Verdana"/>
                <w:color w:val="000000"/>
                <w:szCs w:val="21"/>
              </w:rPr>
              <w:t>采用交流变频电机驱动，运行宁静清洁</w:t>
            </w:r>
            <w:r>
              <w:rPr>
                <w:rFonts w:ascii="Verdana" w:hAnsi="Verdana"/>
                <w:color w:val="000000"/>
                <w:szCs w:val="21"/>
              </w:rPr>
              <w:br w:type="textWrapping"/>
            </w:r>
            <w:r>
              <w:rPr>
                <w:rFonts w:hint="eastAsia" w:ascii="Verdana" w:hAnsi="Verdana"/>
                <w:color w:val="000000"/>
                <w:szCs w:val="21"/>
              </w:rPr>
              <w:t>2.</w:t>
            </w:r>
            <w:r>
              <w:rPr>
                <w:rFonts w:ascii="Verdana" w:hAnsi="Verdana"/>
                <w:color w:val="000000"/>
                <w:szCs w:val="21"/>
              </w:rPr>
              <w:t>运行中可随时更改参数，无需停机</w:t>
            </w:r>
          </w:p>
          <w:p>
            <w:pPr>
              <w:spacing w:line="0" w:lineRule="atLeast"/>
              <w:rPr>
                <w:rFonts w:ascii="Verdana" w:hAnsi="Verdana"/>
                <w:color w:val="000000"/>
                <w:szCs w:val="21"/>
              </w:rPr>
            </w:pPr>
            <w:r>
              <w:rPr>
                <w:rFonts w:hint="eastAsia" w:ascii="宋体" w:hAnsi="宋体"/>
              </w:rPr>
              <w:t>3.</w:t>
            </w:r>
            <w:r>
              <w:rPr>
                <w:rFonts w:hint="eastAsia" w:ascii="宋体" w:hAnsi="宋体" w:cs="宋体"/>
                <w:color w:val="000000"/>
                <w:kern w:val="0"/>
                <w:szCs w:val="21"/>
              </w:rPr>
              <w:t>两种计时模式可选：运行开始计时和到达设定转速开始计时，切换方便</w:t>
            </w:r>
          </w:p>
          <w:p>
            <w:pPr>
              <w:spacing w:line="0" w:lineRule="atLeast"/>
            </w:pPr>
            <w:r>
              <w:rPr>
                <w:rFonts w:hint="eastAsia" w:ascii="Verdana" w:hAnsi="Verdana"/>
                <w:color w:val="000000"/>
                <w:szCs w:val="21"/>
              </w:rPr>
              <w:t>4.提供9种升降速率选择模式，10种工作模式选择，可自由编程、调用</w:t>
            </w:r>
            <w:r>
              <w:rPr>
                <w:rFonts w:ascii="Verdana" w:hAnsi="Verdana"/>
                <w:color w:val="000000"/>
                <w:szCs w:val="21"/>
              </w:rPr>
              <w:br w:type="textWrapping"/>
            </w:r>
            <w:r>
              <w:rPr>
                <w:rFonts w:hint="eastAsia" w:ascii="Verdana" w:hAnsi="Verdana"/>
                <w:color w:val="000000"/>
                <w:szCs w:val="21"/>
              </w:rPr>
              <w:t>5.</w:t>
            </w:r>
            <w:r>
              <w:rPr>
                <w:rFonts w:ascii="Verdana" w:hAnsi="Verdana"/>
                <w:color w:val="000000"/>
                <w:szCs w:val="21"/>
              </w:rPr>
              <w:t>电动</w:t>
            </w:r>
            <w:r>
              <w:rPr>
                <w:rFonts w:hint="eastAsia" w:ascii="Verdana" w:hAnsi="Verdana"/>
                <w:color w:val="000000"/>
                <w:szCs w:val="21"/>
              </w:rPr>
              <w:t>开门</w:t>
            </w:r>
            <w:r>
              <w:rPr>
                <w:rFonts w:ascii="Verdana" w:hAnsi="Verdana"/>
                <w:color w:val="000000"/>
                <w:szCs w:val="21"/>
              </w:rPr>
              <w:t>，</w:t>
            </w:r>
            <w:r>
              <w:rPr>
                <w:rFonts w:hint="eastAsia" w:ascii="Verdana" w:hAnsi="Verdana"/>
                <w:color w:val="000000"/>
                <w:szCs w:val="21"/>
              </w:rPr>
              <w:t>双挂钩锁设计，</w:t>
            </w:r>
            <w:r>
              <w:rPr>
                <w:rFonts w:ascii="Verdana" w:hAnsi="Verdana"/>
                <w:color w:val="000000"/>
                <w:szCs w:val="21"/>
              </w:rPr>
              <w:t>运行更安全可靠，电机启动自动上锁</w:t>
            </w:r>
            <w:r>
              <w:rPr>
                <w:rFonts w:ascii="Verdana" w:hAnsi="Verdana"/>
                <w:color w:val="000000"/>
                <w:szCs w:val="21"/>
              </w:rPr>
              <w:br w:type="textWrapping"/>
            </w:r>
            <w:r>
              <w:rPr>
                <w:rFonts w:hint="eastAsia" w:ascii="Verdana" w:hAnsi="Verdana"/>
                <w:color w:val="000000"/>
                <w:szCs w:val="21"/>
              </w:rPr>
              <w:t>★6.</w:t>
            </w:r>
            <w:r>
              <w:rPr>
                <w:rFonts w:ascii="Verdana" w:hAnsi="Verdana"/>
                <w:color w:val="000000"/>
                <w:szCs w:val="21"/>
              </w:rPr>
              <w:t>自动平衡，无需配平，不平衡偏重最大可达30克</w:t>
            </w:r>
            <w:r>
              <w:rPr>
                <w:rFonts w:ascii="Verdana" w:hAnsi="Verdana"/>
                <w:color w:val="000000"/>
                <w:szCs w:val="21"/>
              </w:rPr>
              <w:br w:type="textWrapping"/>
            </w:r>
            <w:r>
              <w:rPr>
                <w:rFonts w:hint="eastAsia" w:ascii="Verdana" w:hAnsi="Verdana"/>
                <w:color w:val="000000"/>
                <w:szCs w:val="21"/>
              </w:rPr>
              <w:t>7.</w:t>
            </w:r>
            <w:r>
              <w:rPr>
                <w:rFonts w:ascii="Verdana" w:hAnsi="Verdana"/>
                <w:color w:val="000000"/>
                <w:szCs w:val="21"/>
              </w:rPr>
              <w:t>定时范围</w:t>
            </w:r>
            <w:r>
              <w:rPr>
                <w:rFonts w:hint="eastAsia" w:ascii="Verdana" w:hAnsi="Verdana"/>
                <w:color w:val="000000"/>
                <w:szCs w:val="21"/>
              </w:rPr>
              <w:t xml:space="preserve"> </w:t>
            </w:r>
            <w:r>
              <w:rPr>
                <w:rFonts w:ascii="Verdana" w:hAnsi="Verdana"/>
                <w:color w:val="000000"/>
                <w:szCs w:val="21"/>
              </w:rPr>
              <w:t>：</w:t>
            </w:r>
            <w:r>
              <w:rPr>
                <w:rFonts w:hint="eastAsia" w:ascii="Verdana" w:hAnsi="Verdana"/>
                <w:color w:val="000000"/>
                <w:szCs w:val="21"/>
              </w:rPr>
              <w:t xml:space="preserve"> </w:t>
            </w:r>
            <w:r>
              <w:rPr>
                <w:rFonts w:ascii="Verdana" w:hAnsi="Verdana"/>
                <w:color w:val="000000"/>
                <w:szCs w:val="21"/>
              </w:rPr>
              <w:t>1～99</w:t>
            </w:r>
            <w:r>
              <w:rPr>
                <w:rFonts w:hint="eastAsia" w:ascii="Verdana" w:hAnsi="Verdana"/>
                <w:color w:val="000000"/>
                <w:szCs w:val="21"/>
              </w:rPr>
              <w:t>h59min59s</w:t>
            </w:r>
          </w:p>
          <w:p>
            <w:pPr>
              <w:spacing w:line="0" w:lineRule="atLeast"/>
              <w:rPr>
                <w:rFonts w:ascii="Verdana" w:hAnsi="Verdana" w:cs="宋体"/>
                <w:color w:val="000000"/>
                <w:kern w:val="0"/>
                <w:szCs w:val="21"/>
              </w:rPr>
            </w:pPr>
            <w:r>
              <w:rPr>
                <w:rFonts w:hint="eastAsia"/>
              </w:rPr>
              <w:t>8.</w:t>
            </w:r>
            <w:r>
              <w:rPr>
                <w:rFonts w:hint="eastAsia" w:ascii="Verdana" w:hAnsi="Verdana" w:cs="宋体"/>
                <w:color w:val="000000"/>
                <w:kern w:val="0"/>
                <w:szCs w:val="21"/>
              </w:rPr>
              <w:t>最高转速：</w:t>
            </w:r>
            <w:r>
              <w:rPr>
                <w:rFonts w:ascii="Verdana" w:hAnsi="Verdana" w:cs="宋体"/>
                <w:color w:val="000000"/>
                <w:kern w:val="0"/>
                <w:szCs w:val="21"/>
              </w:rPr>
              <w:t>6000rpm</w:t>
            </w:r>
          </w:p>
          <w:p>
            <w:pPr>
              <w:spacing w:line="0" w:lineRule="atLeast"/>
              <w:rPr>
                <w:rFonts w:ascii="宋体" w:hAnsi="宋体"/>
              </w:rPr>
            </w:pPr>
            <w:r>
              <w:rPr>
                <w:rFonts w:hint="eastAsia" w:ascii="宋体" w:hAnsi="宋体" w:cs="宋体"/>
                <w:color w:val="000000"/>
                <w:kern w:val="0"/>
                <w:szCs w:val="21"/>
              </w:rPr>
              <w:t>9.最大相对离心力；5000</w:t>
            </w:r>
            <w:r>
              <w:rPr>
                <w:rFonts w:hint="eastAsia" w:ascii="宋体" w:hAnsi="宋体"/>
              </w:rPr>
              <w:t>×g</w:t>
            </w:r>
          </w:p>
          <w:p>
            <w:pPr>
              <w:spacing w:line="0" w:lineRule="atLeast"/>
              <w:rPr>
                <w:rFonts w:ascii="宋体" w:hAnsi="宋体"/>
              </w:rPr>
            </w:pPr>
            <w:r>
              <w:rPr>
                <w:rFonts w:hint="eastAsia" w:ascii="宋体" w:hAnsi="宋体"/>
              </w:rPr>
              <w:t>转速精度</w:t>
            </w:r>
            <w:r>
              <w:rPr>
                <w:rFonts w:ascii="Verdana" w:hAnsi="Verdana" w:cs="宋体"/>
                <w:color w:val="000000"/>
                <w:kern w:val="0"/>
                <w:szCs w:val="21"/>
              </w:rPr>
              <w:t>±</w:t>
            </w:r>
            <w:r>
              <w:rPr>
                <w:rFonts w:hint="eastAsia" w:ascii="Verdana" w:hAnsi="Verdana" w:cs="宋体"/>
                <w:color w:val="000000"/>
                <w:kern w:val="0"/>
                <w:szCs w:val="21"/>
              </w:rPr>
              <w:t>2</w:t>
            </w:r>
            <w:r>
              <w:rPr>
                <w:rFonts w:ascii="Verdana" w:hAnsi="Verdana" w:cs="宋体"/>
                <w:color w:val="000000"/>
                <w:kern w:val="0"/>
                <w:szCs w:val="21"/>
              </w:rPr>
              <w:t>0rpm</w:t>
            </w:r>
          </w:p>
          <w:p>
            <w:pPr>
              <w:spacing w:line="0" w:lineRule="atLeast"/>
              <w:rPr>
                <w:rFonts w:ascii="宋体" w:hAnsi="宋体" w:cs="宋体"/>
                <w:color w:val="000000"/>
                <w:kern w:val="0"/>
                <w:szCs w:val="21"/>
              </w:rPr>
            </w:pPr>
            <w:r>
              <w:rPr>
                <w:rFonts w:hint="eastAsia"/>
              </w:rPr>
              <w:t>★10</w:t>
            </w:r>
            <w:r>
              <w:rPr>
                <w:rFonts w:hint="eastAsia" w:ascii="宋体" w:hAnsi="宋体"/>
              </w:rPr>
              <w:t>噪音：</w:t>
            </w:r>
            <w:r>
              <w:rPr>
                <w:rFonts w:hint="eastAsia" w:ascii="宋体" w:hAnsi="宋体" w:cs="宋体"/>
                <w:color w:val="000000"/>
                <w:kern w:val="0"/>
                <w:szCs w:val="21"/>
              </w:rPr>
              <w:t>≤55dB</w:t>
            </w:r>
          </w:p>
          <w:p>
            <w:pPr>
              <w:spacing w:line="0" w:lineRule="atLeast"/>
              <w:rPr>
                <w:rFonts w:ascii="宋体" w:hAnsi="宋体" w:eastAsia="宋体" w:cs="宋体"/>
                <w:color w:val="000000"/>
                <w:kern w:val="0"/>
                <w:sz w:val="32"/>
                <w:szCs w:val="32"/>
              </w:rPr>
            </w:pPr>
            <w:r>
              <w:rPr>
                <w:rFonts w:hint="eastAsia" w:ascii="宋体" w:hAnsi="宋体" w:eastAsia="宋体" w:cs="宋体"/>
                <w:color w:val="000000"/>
                <w:kern w:val="0"/>
                <w:szCs w:val="21"/>
              </w:rPr>
              <w:t>11.</w:t>
            </w:r>
            <w:r>
              <w:rPr>
                <w:rFonts w:hint="eastAsia" w:ascii="宋体" w:hAnsi="宋体" w:eastAsia="宋体" w:cs="宋体"/>
                <w:szCs w:val="21"/>
              </w:rPr>
              <w:t>生产商需通过了ISO9001:2015质量管理体系认证和ISO13485:2016医疗器械质量管理体系认证/CE认证</w:t>
            </w:r>
          </w:p>
          <w:p>
            <w:pPr>
              <w:spacing w:after="120" w:line="0" w:lineRule="atLeast"/>
            </w:pPr>
          </w:p>
        </w:tc>
        <w:tc>
          <w:tcPr>
            <w:tcW w:w="736" w:type="dxa"/>
            <w:vAlign w:val="center"/>
          </w:tcPr>
          <w:p>
            <w:pPr>
              <w:spacing w:after="120" w:line="0" w:lineRule="atLeast"/>
              <w:jc w:val="center"/>
            </w:pPr>
            <w:r>
              <w:t>一套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78" w:hRule="atLeast"/>
          <w:jc w:val="center"/>
        </w:trPr>
        <w:tc>
          <w:tcPr>
            <w:tcW w:w="541" w:type="dxa"/>
            <w:vAlign w:val="center"/>
          </w:tcPr>
          <w:p>
            <w:pPr>
              <w:spacing w:after="120" w:line="0" w:lineRule="atLeast"/>
              <w:jc w:val="center"/>
            </w:pPr>
            <w:r>
              <w:rPr>
                <w:rFonts w:hint="eastAsia"/>
              </w:rPr>
              <w:t>8</w:t>
            </w:r>
          </w:p>
        </w:tc>
        <w:tc>
          <w:tcPr>
            <w:tcW w:w="1134" w:type="dxa"/>
            <w:vAlign w:val="center"/>
          </w:tcPr>
          <w:p>
            <w:pPr>
              <w:spacing w:after="120" w:line="0" w:lineRule="atLeast"/>
              <w:jc w:val="center"/>
            </w:pPr>
            <w:r>
              <w:t>纯水机</w:t>
            </w:r>
          </w:p>
        </w:tc>
        <w:tc>
          <w:tcPr>
            <w:tcW w:w="6125" w:type="dxa"/>
          </w:tcPr>
          <w:p>
            <w:pPr>
              <w:spacing w:after="120" w:line="0" w:lineRule="atLeast"/>
            </w:pPr>
            <w:r>
              <w:rPr>
                <w:rFonts w:hint="eastAsia"/>
              </w:rPr>
              <w:t>1．用途;适用于实验器重冲洗、试剂配制、微生物检查、生化分析等常规实验之定性/定量分析项目。</w:t>
            </w:r>
          </w:p>
          <w:p>
            <w:pPr>
              <w:spacing w:after="120" w:line="0" w:lineRule="atLeast"/>
            </w:pPr>
            <w:r>
              <w:rPr>
                <w:rFonts w:hint="eastAsia"/>
              </w:rPr>
              <w:t>2．产水量:45L/h/套(25℃)温度每降低1，产水量约下降3%4水利用率≥60%</w:t>
            </w:r>
          </w:p>
          <w:p>
            <w:pPr>
              <w:spacing w:after="120" w:line="0" w:lineRule="atLeast"/>
            </w:pPr>
            <w:r>
              <w:rPr>
                <w:rFonts w:hint="eastAsia"/>
              </w:rPr>
              <w:t>★3.离子截留率&gt;99%,有机物截留率(Mw&gt;200Dalton)&gt;99%细菌和颗粒去除率&gt;99%;6运行噪声:62士5dB</w:t>
            </w:r>
          </w:p>
          <w:p>
            <w:pPr>
              <w:spacing w:after="120" w:line="0" w:lineRule="atLeast"/>
            </w:pPr>
            <w:r>
              <w:rPr>
                <w:rFonts w:hint="eastAsia"/>
              </w:rPr>
              <w:t>★4产水水质电导率0.055-0.1us/m(25℃)8设备主要技术要求/标准性能</w:t>
            </w:r>
          </w:p>
          <w:p>
            <w:pPr>
              <w:spacing w:after="120" w:line="0" w:lineRule="atLeast"/>
            </w:pPr>
            <w:r>
              <w:rPr>
                <w:rFonts w:hint="eastAsia"/>
              </w:rPr>
              <w:t>5..预处理系统来用两级预处理柱过滤，有效去除水中颗粒、余氯和有机物</w:t>
            </w:r>
          </w:p>
          <w:p>
            <w:pPr>
              <w:spacing w:after="120" w:line="0" w:lineRule="atLeast"/>
              <w:jc w:val="center"/>
            </w:pPr>
            <w:r>
              <w:rPr>
                <w:rFonts w:hint="eastAsia"/>
              </w:rPr>
              <w:t>6.设备配备高精度电导率，具有温度补偿特性，能精确的显示产水水质，提示耗材更换信息。抗震型压力仪表，准确显示设备的工作压力。LED指示灯，分别指示设备处于的各种工作状态，方便判断设备是否处于正常的工作状态。</w:t>
            </w:r>
          </w:p>
          <w:p>
            <w:pPr>
              <w:spacing w:after="120" w:line="0" w:lineRule="atLeast"/>
            </w:pPr>
            <w:r>
              <w:rPr>
                <w:rFonts w:hint="eastAsia"/>
              </w:rPr>
              <w:t>7.设备具有一机两用功能，可同时满足开放式和压力</w:t>
            </w:r>
          </w:p>
          <w:p>
            <w:pPr>
              <w:spacing w:after="120" w:line="0" w:lineRule="atLeast"/>
            </w:pPr>
            <w:r>
              <w:rPr>
                <w:rFonts w:hint="eastAsia"/>
              </w:rPr>
              <w:t>8.电源要求:AC220V士10%,50Hz;功率150,环统委金:维应平乐城) 境都 星度+5℃-+30℃之间，相对湿度≤80%。</w:t>
            </w:r>
          </w:p>
          <w:p>
            <w:pPr>
              <w:spacing w:after="120" w:line="0" w:lineRule="atLeast"/>
            </w:pPr>
            <w:r>
              <w:rPr>
                <w:rFonts w:hint="eastAsia"/>
              </w:rPr>
              <w:t>9.具有一键取水功能，满足少量取水需求，按键果用LED不锈锈校健 连续动作10000次功能无异常。</w:t>
            </w:r>
          </w:p>
          <w:p>
            <w:pPr>
              <w:spacing w:after="120" w:line="0" w:lineRule="atLeast"/>
            </w:pPr>
            <w:r>
              <w:rPr>
                <w:rFonts w:hint="eastAsia"/>
              </w:rPr>
              <w:t>10.系统具有较强的故障诊断能力，可根据压力，水质器参款的后得情况进行预判告警和指示;设备设有原水缺水、过载、过流的自动保护功能，确保设备自身安全;及渗透膜自动冲洗，开机、关机自动大流量冲洗，排出淤积水，同时运行中自动检测工作状况，提高操作人员的安全性和设备运行的稳定性。</w:t>
            </w:r>
          </w:p>
          <w:p>
            <w:pPr>
              <w:spacing w:after="120" w:line="0" w:lineRule="atLeast"/>
            </w:pPr>
            <w:r>
              <w:rPr>
                <w:rFonts w:hint="eastAsia"/>
              </w:rPr>
              <w:t>11.通过1S09001:2015质量管理体系认证和欧盟CE认证</w:t>
            </w:r>
          </w:p>
        </w:tc>
        <w:tc>
          <w:tcPr>
            <w:tcW w:w="736" w:type="dxa"/>
            <w:vAlign w:val="center"/>
          </w:tcPr>
          <w:p>
            <w:pPr>
              <w:spacing w:after="120" w:line="0" w:lineRule="atLeast"/>
              <w:jc w:val="center"/>
            </w:pPr>
            <w:r>
              <w:t>一套</w:t>
            </w:r>
          </w:p>
          <w:p>
            <w:pPr>
              <w:spacing w:after="120" w:line="0" w:lineRule="atLeast"/>
              <w:jc w:val="center"/>
            </w:pPr>
          </w:p>
        </w:tc>
      </w:tr>
    </w:tbl>
    <w:p>
      <w:pPr>
        <w:pStyle w:val="5"/>
        <w:spacing w:line="0" w:lineRule="atLeast"/>
        <w:ind w:firstLine="442"/>
        <w:rPr>
          <w:rFonts w:ascii="仿宋" w:hAnsi="仿宋" w:eastAsia="仿宋" w:cs="仿宋"/>
          <w:b/>
          <w:bCs/>
          <w:sz w:val="22"/>
          <w:szCs w:val="22"/>
        </w:rPr>
      </w:pPr>
    </w:p>
    <w:p>
      <w:pPr>
        <w:pStyle w:val="5"/>
        <w:spacing w:line="0" w:lineRule="atLeast"/>
        <w:ind w:firstLine="442"/>
        <w:rPr>
          <w:rFonts w:ascii="仿宋" w:hAnsi="仿宋" w:eastAsia="仿宋" w:cs="仿宋"/>
          <w:b/>
          <w:bCs/>
          <w:sz w:val="22"/>
          <w:szCs w:val="22"/>
        </w:rPr>
      </w:pPr>
      <w:r>
        <w:rPr>
          <w:rFonts w:hint="eastAsia" w:ascii="仿宋" w:hAnsi="仿宋" w:eastAsia="仿宋" w:cs="仿宋"/>
          <w:b/>
          <w:bCs/>
          <w:sz w:val="22"/>
          <w:szCs w:val="22"/>
        </w:rPr>
        <w:t>四、商务要求：</w:t>
      </w:r>
    </w:p>
    <w:p>
      <w:pPr>
        <w:pStyle w:val="5"/>
        <w:spacing w:line="0" w:lineRule="atLeast"/>
        <w:ind w:firstLine="442"/>
        <w:rPr>
          <w:rFonts w:ascii="仿宋" w:hAnsi="仿宋" w:eastAsia="仿宋" w:cs="仿宋"/>
          <w:b/>
          <w:color w:val="000000"/>
          <w:sz w:val="22"/>
          <w:szCs w:val="22"/>
        </w:rPr>
      </w:pPr>
      <w:r>
        <w:rPr>
          <w:rFonts w:hint="eastAsia" w:ascii="仿宋" w:hAnsi="仿宋" w:eastAsia="仿宋" w:cs="仿宋"/>
          <w:b/>
          <w:color w:val="000000"/>
          <w:sz w:val="22"/>
          <w:szCs w:val="22"/>
        </w:rPr>
        <w:t>（一）供货要求</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1、投标人负责产品运输、存储、安装、调试，直至能投入正常使用，所需的安装、维修专用工具和仪器设备均由投标人自行负责。</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2、投标人的报价为总价格，包含运输、存储、安装、调试、人工、税收等一切费用。</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 xml:space="preserve">3、投标人应免费就产品的操作、维护、保养等对采购方技术人员进行培训，直至采购方技术人员能独立完成使用及一般维护。      </w:t>
      </w:r>
    </w:p>
    <w:p>
      <w:pPr>
        <w:pStyle w:val="5"/>
        <w:spacing w:line="0" w:lineRule="atLeast"/>
        <w:ind w:firstLine="440"/>
        <w:rPr>
          <w:rFonts w:ascii="仿宋" w:hAnsi="仿宋" w:eastAsia="仿宋" w:cs="仿宋"/>
          <w:sz w:val="22"/>
          <w:szCs w:val="22"/>
        </w:rPr>
      </w:pPr>
      <w:r>
        <w:rPr>
          <w:rFonts w:hint="eastAsia" w:ascii="仿宋" w:hAnsi="仿宋" w:eastAsia="仿宋" w:cs="仿宋"/>
          <w:color w:val="000000"/>
          <w:sz w:val="22"/>
          <w:szCs w:val="22"/>
        </w:rPr>
        <w:t>4、投标人提供的货物(包括零部件)是必须是全新的、未使用过的，并完全符合国家、行业规定的质量、规格和性能要求等技术标准。</w:t>
      </w:r>
    </w:p>
    <w:p>
      <w:pPr>
        <w:widowControl/>
        <w:spacing w:before="225" w:line="0" w:lineRule="atLeast"/>
        <w:ind w:firstLine="442" w:firstLineChars="200"/>
        <w:rPr>
          <w:rFonts w:ascii="仿宋" w:hAnsi="仿宋" w:eastAsia="仿宋" w:cs="仿宋"/>
          <w:color w:val="000000"/>
          <w:sz w:val="22"/>
          <w:szCs w:val="22"/>
        </w:rPr>
      </w:pPr>
      <w:r>
        <w:rPr>
          <w:rFonts w:hint="eastAsia" w:ascii="仿宋" w:hAnsi="仿宋" w:eastAsia="仿宋" w:cs="仿宋"/>
          <w:b/>
          <w:color w:val="000000"/>
          <w:kern w:val="0"/>
          <w:sz w:val="22"/>
          <w:szCs w:val="22"/>
          <w:lang w:bidi="ar"/>
        </w:rPr>
        <w:t>（二）售后服务要求</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1、提供投标产品的详细资料及售后服务承诺。</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2、所投标产品免费质保期为1年，质保期自采购人验收合格签字开始计。</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3、质保期内投标人应免费负责产品维护、维修及升级。接到维修通知后1小时内作出响应，如2小时内无法通过电话解决问题，投标人维修工程师必须在接到故障报告后72小时内到达采购人现场修理和更换零件。</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4、投标人在国内应有售后服务人员及电话维修系统，并列出工程师名单、联系电话。</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5、提供技术培训服务、质量保障措施。</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6、能提供同款整套备用新机作为应急处理方式。</w:t>
      </w:r>
    </w:p>
    <w:p>
      <w:pPr>
        <w:widowControl/>
        <w:spacing w:before="225" w:line="0" w:lineRule="atLeast"/>
        <w:ind w:firstLine="442" w:firstLineChars="200"/>
        <w:rPr>
          <w:rFonts w:ascii="仿宋" w:hAnsi="仿宋" w:eastAsia="仿宋" w:cs="仿宋"/>
          <w:color w:val="000000"/>
          <w:sz w:val="22"/>
          <w:szCs w:val="22"/>
        </w:rPr>
      </w:pPr>
      <w:r>
        <w:rPr>
          <w:rFonts w:hint="eastAsia" w:ascii="仿宋" w:hAnsi="仿宋" w:eastAsia="仿宋" w:cs="仿宋"/>
          <w:b/>
          <w:color w:val="000000"/>
          <w:kern w:val="0"/>
          <w:sz w:val="22"/>
          <w:szCs w:val="22"/>
          <w:lang w:bidi="ar"/>
        </w:rPr>
        <w:t>（三）付款方式</w:t>
      </w:r>
    </w:p>
    <w:p>
      <w:pPr>
        <w:pStyle w:val="5"/>
        <w:spacing w:line="0" w:lineRule="atLeast"/>
        <w:ind w:firstLine="440"/>
        <w:rPr>
          <w:rFonts w:ascii="仿宋" w:hAnsi="仿宋" w:eastAsia="仿宋" w:cs="仿宋"/>
          <w:color w:val="000000"/>
          <w:sz w:val="22"/>
          <w:szCs w:val="22"/>
        </w:rPr>
      </w:pPr>
      <w:r>
        <w:rPr>
          <w:rFonts w:hint="eastAsia" w:ascii="仿宋" w:hAnsi="仿宋" w:eastAsia="仿宋" w:cs="仿宋"/>
          <w:color w:val="000000"/>
          <w:sz w:val="22"/>
          <w:szCs w:val="22"/>
        </w:rPr>
        <w:t>设备安装完毕验收合格后付合同金额的95%，剩余合同金额的5%作为质保金，待质保期满后付清。</w:t>
      </w:r>
    </w:p>
    <w:p>
      <w:pPr>
        <w:widowControl/>
        <w:spacing w:before="225" w:line="0" w:lineRule="atLeast"/>
        <w:ind w:firstLine="442" w:firstLineChars="200"/>
        <w:rPr>
          <w:lang w:bidi="ar"/>
        </w:rPr>
      </w:pPr>
      <w:r>
        <w:rPr>
          <w:rFonts w:hint="eastAsia" w:ascii="仿宋" w:hAnsi="仿宋" w:eastAsia="仿宋" w:cs="仿宋"/>
          <w:b/>
          <w:color w:val="000000"/>
          <w:kern w:val="0"/>
          <w:sz w:val="22"/>
          <w:szCs w:val="22"/>
          <w:lang w:bidi="ar"/>
        </w:rPr>
        <w:t>五、评分细则</w:t>
      </w:r>
    </w:p>
    <w:tbl>
      <w:tblPr>
        <w:tblStyle w:val="12"/>
        <w:tblW w:w="8335" w:type="dxa"/>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97"/>
        <w:gridCol w:w="1129"/>
        <w:gridCol w:w="884"/>
        <w:gridCol w:w="4678"/>
        <w:gridCol w:w="124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397" w:type="dxa"/>
            <w:vAlign w:val="center"/>
          </w:tcPr>
          <w:p>
            <w:pPr>
              <w:pStyle w:val="2"/>
              <w:spacing w:line="0" w:lineRule="atLeast"/>
            </w:pPr>
            <w:r>
              <w:rPr>
                <w:rFonts w:hint="eastAsia" w:ascii="仿宋_GB2312" w:eastAsia="仿宋_GB2312"/>
                <w:b/>
                <w:sz w:val="18"/>
                <w:szCs w:val="18"/>
              </w:rPr>
              <w:t>序号</w:t>
            </w:r>
          </w:p>
        </w:tc>
        <w:tc>
          <w:tcPr>
            <w:tcW w:w="1129" w:type="dxa"/>
            <w:vAlign w:val="center"/>
          </w:tcPr>
          <w:p>
            <w:pPr>
              <w:spacing w:line="0" w:lineRule="atLeast"/>
              <w:jc w:val="center"/>
              <w:rPr>
                <w:rFonts w:ascii="仿宋_GB2312" w:eastAsia="仿宋_GB2312"/>
                <w:b/>
                <w:sz w:val="18"/>
                <w:szCs w:val="18"/>
              </w:rPr>
            </w:pPr>
            <w:r>
              <w:rPr>
                <w:rFonts w:hint="eastAsia" w:ascii="仿宋_GB2312" w:eastAsia="仿宋_GB2312"/>
                <w:b/>
                <w:sz w:val="18"/>
                <w:szCs w:val="18"/>
              </w:rPr>
              <w:t>评分因素</w:t>
            </w:r>
          </w:p>
          <w:p>
            <w:pPr>
              <w:spacing w:line="0" w:lineRule="atLeast"/>
              <w:jc w:val="center"/>
              <w:rPr>
                <w:rFonts w:ascii="仿宋_GB2312" w:eastAsia="仿宋_GB2312"/>
                <w:b/>
                <w:sz w:val="18"/>
                <w:szCs w:val="18"/>
              </w:rPr>
            </w:pPr>
            <w:r>
              <w:rPr>
                <w:rFonts w:hint="eastAsia" w:ascii="仿宋_GB2312" w:eastAsia="仿宋_GB2312"/>
                <w:b/>
                <w:sz w:val="18"/>
                <w:szCs w:val="18"/>
              </w:rPr>
              <w:t>及权重</w:t>
            </w:r>
          </w:p>
        </w:tc>
        <w:tc>
          <w:tcPr>
            <w:tcW w:w="884" w:type="dxa"/>
            <w:vAlign w:val="center"/>
          </w:tcPr>
          <w:p>
            <w:pPr>
              <w:spacing w:line="0" w:lineRule="atLeast"/>
              <w:jc w:val="center"/>
              <w:rPr>
                <w:rFonts w:ascii="仿宋_GB2312" w:eastAsia="仿宋_GB2312"/>
                <w:b/>
                <w:sz w:val="18"/>
                <w:szCs w:val="18"/>
              </w:rPr>
            </w:pPr>
            <w:r>
              <w:rPr>
                <w:rFonts w:hint="eastAsia" w:ascii="仿宋_GB2312" w:eastAsia="仿宋_GB2312"/>
                <w:b/>
                <w:sz w:val="18"/>
                <w:szCs w:val="18"/>
              </w:rPr>
              <w:t>分值</w:t>
            </w:r>
          </w:p>
        </w:tc>
        <w:tc>
          <w:tcPr>
            <w:tcW w:w="4678" w:type="dxa"/>
            <w:vAlign w:val="center"/>
          </w:tcPr>
          <w:p>
            <w:pPr>
              <w:spacing w:line="0" w:lineRule="atLeast"/>
              <w:jc w:val="center"/>
              <w:rPr>
                <w:rFonts w:ascii="仿宋_GB2312" w:eastAsia="仿宋_GB2312"/>
                <w:b/>
                <w:sz w:val="18"/>
                <w:szCs w:val="18"/>
              </w:rPr>
            </w:pPr>
            <w:r>
              <w:rPr>
                <w:rFonts w:hint="eastAsia" w:ascii="仿宋_GB2312" w:eastAsia="仿宋_GB2312"/>
                <w:b/>
                <w:sz w:val="18"/>
                <w:szCs w:val="18"/>
              </w:rPr>
              <w:t>评分标准</w:t>
            </w:r>
          </w:p>
        </w:tc>
        <w:tc>
          <w:tcPr>
            <w:tcW w:w="1247" w:type="dxa"/>
            <w:vAlign w:val="center"/>
          </w:tcPr>
          <w:p>
            <w:pPr>
              <w:spacing w:line="0" w:lineRule="atLeast"/>
              <w:jc w:val="center"/>
              <w:rPr>
                <w:rFonts w:ascii="仿宋_GB2312" w:eastAsia="仿宋_GB2312"/>
                <w:b/>
                <w:sz w:val="18"/>
                <w:szCs w:val="18"/>
              </w:rPr>
            </w:pPr>
            <w:r>
              <w:rPr>
                <w:rFonts w:hint="eastAsia" w:ascii="仿宋_GB2312" w:eastAsia="仿宋_GB2312"/>
                <w:b/>
                <w:sz w:val="18"/>
                <w:szCs w:val="18"/>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1</w:t>
            </w:r>
          </w:p>
        </w:tc>
        <w:tc>
          <w:tcPr>
            <w:tcW w:w="1129"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报价</w:t>
            </w:r>
          </w:p>
        </w:tc>
        <w:tc>
          <w:tcPr>
            <w:tcW w:w="884"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30分</w:t>
            </w:r>
          </w:p>
        </w:tc>
        <w:tc>
          <w:tcPr>
            <w:tcW w:w="4678" w:type="dxa"/>
          </w:tcPr>
          <w:p>
            <w:pPr>
              <w:wordWrap w:val="0"/>
              <w:spacing w:line="0" w:lineRule="atLeast"/>
              <w:ind w:firstLine="360" w:firstLineChars="200"/>
              <w:rPr>
                <w:rStyle w:val="16"/>
                <w:rFonts w:ascii="仿宋_GB2312" w:eastAsia="仿宋_GB2312"/>
                <w:sz w:val="18"/>
                <w:szCs w:val="18"/>
              </w:rPr>
            </w:pPr>
            <w:r>
              <w:rPr>
                <w:rStyle w:val="16"/>
                <w:rFonts w:hint="eastAsia" w:ascii="仿宋_GB2312" w:eastAsia="仿宋_GB2312"/>
                <w:sz w:val="18"/>
                <w:szCs w:val="18"/>
              </w:rPr>
              <w:t>以满足磋商文件要求且报价最低的有效报价为磋商基准价，其价格分为满分。其他供应商的价格分统一按照下列公式计算：报价得分=</w:t>
            </w:r>
            <w:r>
              <w:rPr>
                <w:rStyle w:val="16"/>
                <w:rFonts w:ascii="仿宋_GB2312" w:eastAsia="仿宋_GB2312"/>
                <w:sz w:val="18"/>
                <w:szCs w:val="18"/>
              </w:rPr>
              <w:t>（磋商基准价）/（最终磋商报价）×30。</w:t>
            </w:r>
          </w:p>
          <w:p>
            <w:pPr>
              <w:spacing w:line="0" w:lineRule="atLeast"/>
              <w:rPr>
                <w:rFonts w:ascii="仿宋_GB2312" w:eastAsia="仿宋_GB2312"/>
                <w:sz w:val="18"/>
                <w:szCs w:val="18"/>
              </w:rPr>
            </w:pPr>
            <w:r>
              <w:rPr>
                <w:rStyle w:val="16"/>
                <w:rFonts w:hint="eastAsia" w:ascii="仿宋_GB2312" w:eastAsia="仿宋_GB2312"/>
                <w:sz w:val="18"/>
                <w:szCs w:val="18"/>
              </w:rPr>
              <w:t>注：</w:t>
            </w:r>
            <w:r>
              <w:rPr>
                <w:rStyle w:val="16"/>
                <w:rFonts w:hint="eastAsia" w:ascii="仿宋_GB2312" w:eastAsia="仿宋_GB2312"/>
                <w:sz w:val="18"/>
                <w:szCs w:val="18"/>
                <w:lang w:val="zh-TW"/>
              </w:rPr>
              <w:t>小微企业（残疾人福利性单位、监狱企业视同小微企业）价格扣除按照本招标文件投标须知前附表规定执行。</w:t>
            </w:r>
          </w:p>
        </w:tc>
        <w:tc>
          <w:tcPr>
            <w:tcW w:w="1247" w:type="dxa"/>
            <w:vAlign w:val="center"/>
          </w:tcPr>
          <w:p>
            <w:pPr>
              <w:spacing w:line="0" w:lineRule="atLeast"/>
              <w:rPr>
                <w:rFonts w:ascii="仿宋_GB2312" w:eastAsia="仿宋_GB2312"/>
                <w:sz w:val="18"/>
                <w:szCs w:val="18"/>
              </w:rPr>
            </w:pPr>
            <w:r>
              <w:rPr>
                <w:rFonts w:hint="eastAsia" w:ascii="仿宋_GB2312" w:eastAsia="仿宋_GB2312"/>
                <w:sz w:val="18"/>
                <w:szCs w:val="18"/>
              </w:rPr>
              <w:t>以最终报价为准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2</w:t>
            </w:r>
          </w:p>
        </w:tc>
        <w:tc>
          <w:tcPr>
            <w:tcW w:w="1129"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技术要求</w:t>
            </w:r>
          </w:p>
          <w:p>
            <w:pPr>
              <w:spacing w:line="0" w:lineRule="atLeast"/>
              <w:jc w:val="center"/>
              <w:rPr>
                <w:rFonts w:ascii="仿宋_GB2312" w:eastAsia="仿宋_GB2312"/>
                <w:sz w:val="18"/>
                <w:szCs w:val="18"/>
              </w:rPr>
            </w:pPr>
            <w:r>
              <w:rPr>
                <w:rFonts w:hint="eastAsia" w:ascii="仿宋_GB2312" w:eastAsia="仿宋_GB2312"/>
                <w:sz w:val="18"/>
                <w:szCs w:val="18"/>
              </w:rPr>
              <w:t>与配置</w:t>
            </w:r>
          </w:p>
        </w:tc>
        <w:tc>
          <w:tcPr>
            <w:tcW w:w="884"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57分</w:t>
            </w:r>
          </w:p>
        </w:tc>
        <w:tc>
          <w:tcPr>
            <w:tcW w:w="4678" w:type="dxa"/>
            <w:vAlign w:val="center"/>
          </w:tcPr>
          <w:p>
            <w:pPr>
              <w:spacing w:line="0" w:lineRule="atLeast"/>
              <w:rPr>
                <w:rFonts w:ascii="仿宋_GB2312" w:eastAsia="仿宋_GB2312"/>
                <w:sz w:val="18"/>
                <w:szCs w:val="18"/>
              </w:rPr>
            </w:pPr>
            <w:r>
              <w:rPr>
                <w:rFonts w:hint="eastAsia" w:ascii="仿宋_GB2312" w:eastAsia="仿宋_GB2312"/>
                <w:sz w:val="18"/>
                <w:szCs w:val="18"/>
              </w:rPr>
              <w:t>1.招标文件的技术及服务内容完全满足招标文件要求得57分，每有1项标注</w:t>
            </w:r>
            <w:r>
              <w:rPr>
                <w:rFonts w:hint="eastAsia" w:ascii="仿宋_GB2312" w:hAnsi="宋体" w:eastAsia="仿宋_GB2312"/>
                <w:sz w:val="18"/>
                <w:szCs w:val="18"/>
              </w:rPr>
              <w:t>“</w:t>
            </w:r>
            <w:r>
              <w:rPr>
                <w:rFonts w:hint="eastAsia" w:ascii="仿宋_GB2312" w:hAnsi="Segoe UI Symbol" w:eastAsia="仿宋_GB2312" w:cs="Segoe UI Symbol"/>
                <w:sz w:val="18"/>
                <w:szCs w:val="18"/>
              </w:rPr>
              <w:t>★</w:t>
            </w:r>
            <w:r>
              <w:rPr>
                <w:rFonts w:hint="eastAsia" w:ascii="仿宋_GB2312" w:hAnsi="宋体" w:eastAsia="仿宋_GB2312"/>
                <w:sz w:val="18"/>
                <w:szCs w:val="18"/>
              </w:rPr>
              <w:t>”</w:t>
            </w:r>
            <w:r>
              <w:rPr>
                <w:rFonts w:hint="eastAsia" w:ascii="仿宋_GB2312" w:eastAsia="仿宋_GB2312"/>
                <w:sz w:val="18"/>
                <w:szCs w:val="18"/>
              </w:rPr>
              <w:t>号条款负偏离扣3分，其余未标注</w:t>
            </w:r>
            <w:r>
              <w:rPr>
                <w:rFonts w:hint="eastAsia" w:ascii="仿宋_GB2312" w:hAnsi="宋体" w:eastAsia="仿宋_GB2312"/>
                <w:sz w:val="18"/>
                <w:szCs w:val="18"/>
              </w:rPr>
              <w:t>“</w:t>
            </w:r>
            <w:r>
              <w:rPr>
                <w:rFonts w:hint="eastAsia" w:ascii="仿宋_GB2312" w:hAnsi="Segoe UI Symbol" w:eastAsia="仿宋_GB2312" w:cs="Segoe UI Symbol"/>
                <w:sz w:val="18"/>
                <w:szCs w:val="18"/>
              </w:rPr>
              <w:t>★</w:t>
            </w:r>
            <w:r>
              <w:rPr>
                <w:rFonts w:hint="eastAsia" w:ascii="仿宋_GB2312" w:hAnsi="宋体" w:eastAsia="仿宋_GB2312"/>
                <w:sz w:val="18"/>
                <w:szCs w:val="18"/>
              </w:rPr>
              <w:t>”</w:t>
            </w:r>
            <w:r>
              <w:rPr>
                <w:rFonts w:hint="eastAsia" w:ascii="仿宋_GB2312" w:eastAsia="仿宋_GB2312"/>
                <w:sz w:val="18"/>
                <w:szCs w:val="18"/>
              </w:rPr>
              <w:t>号条款负偏离1项扣0. 1分；本项总分扣完为止。</w:t>
            </w:r>
          </w:p>
        </w:tc>
        <w:tc>
          <w:tcPr>
            <w:tcW w:w="1247" w:type="dxa"/>
            <w:vAlign w:val="center"/>
          </w:tcPr>
          <w:p>
            <w:pPr>
              <w:spacing w:line="0" w:lineRule="atLeast"/>
              <w:rPr>
                <w:rFonts w:ascii="仿宋_GB2312" w:eastAsia="仿宋_GB2312"/>
                <w:sz w:val="18"/>
                <w:szCs w:val="18"/>
              </w:rPr>
            </w:pPr>
            <w:r>
              <w:rPr>
                <w:rFonts w:hint="eastAsia" w:ascii="仿宋_GB2312" w:eastAsia="仿宋_GB2312"/>
                <w:sz w:val="18"/>
                <w:szCs w:val="18"/>
              </w:rPr>
              <w:t>以投标文件为准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3</w:t>
            </w:r>
          </w:p>
        </w:tc>
        <w:tc>
          <w:tcPr>
            <w:tcW w:w="1129"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业绩</w:t>
            </w:r>
          </w:p>
        </w:tc>
        <w:tc>
          <w:tcPr>
            <w:tcW w:w="884"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2分</w:t>
            </w:r>
          </w:p>
        </w:tc>
        <w:tc>
          <w:tcPr>
            <w:tcW w:w="4678" w:type="dxa"/>
            <w:vAlign w:val="center"/>
          </w:tcPr>
          <w:p>
            <w:pPr>
              <w:spacing w:line="0" w:lineRule="atLeast"/>
              <w:jc w:val="left"/>
              <w:rPr>
                <w:rFonts w:ascii="仿宋_GB2312" w:eastAsia="仿宋_GB2312"/>
                <w:sz w:val="18"/>
                <w:szCs w:val="18"/>
              </w:rPr>
            </w:pPr>
            <w:r>
              <w:rPr>
                <w:rFonts w:hint="eastAsia" w:ascii="仿宋_GB2312" w:eastAsia="仿宋_GB2312"/>
                <w:sz w:val="18"/>
                <w:szCs w:val="18"/>
              </w:rPr>
              <w:t>1.供应商具有类似业绩，提供类似业绩证明（以提供购销合同或中标通知书或发票证明为准），每有提供一个类似业绩得1分，</w:t>
            </w:r>
            <w:r>
              <w:rPr>
                <w:rFonts w:hint="eastAsia" w:ascii="仿宋_GB2312" w:hAnsi="宋体" w:eastAsia="仿宋_GB2312"/>
                <w:bCs/>
                <w:kern w:val="0"/>
                <w:sz w:val="18"/>
                <w:szCs w:val="18"/>
              </w:rPr>
              <w:t>本项最多得2分。</w:t>
            </w:r>
          </w:p>
        </w:tc>
        <w:tc>
          <w:tcPr>
            <w:tcW w:w="1247" w:type="dxa"/>
            <w:vAlign w:val="center"/>
          </w:tcPr>
          <w:p>
            <w:pPr>
              <w:spacing w:line="0" w:lineRule="atLeast"/>
              <w:rPr>
                <w:rFonts w:ascii="仿宋_GB2312" w:eastAsia="仿宋_GB2312"/>
                <w:sz w:val="18"/>
                <w:szCs w:val="18"/>
              </w:rPr>
            </w:pPr>
            <w:r>
              <w:rPr>
                <w:rFonts w:hint="eastAsia" w:ascii="仿宋_GB2312" w:eastAsia="仿宋_GB2312"/>
                <w:sz w:val="18"/>
                <w:szCs w:val="18"/>
              </w:rPr>
              <w:t>以投标文件为准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4</w:t>
            </w:r>
          </w:p>
        </w:tc>
        <w:tc>
          <w:tcPr>
            <w:tcW w:w="1129"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配送服务保障及方案</w:t>
            </w:r>
          </w:p>
        </w:tc>
        <w:tc>
          <w:tcPr>
            <w:tcW w:w="884"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2分</w:t>
            </w:r>
          </w:p>
        </w:tc>
        <w:tc>
          <w:tcPr>
            <w:tcW w:w="4678" w:type="dxa"/>
            <w:vAlign w:val="center"/>
          </w:tcPr>
          <w:p>
            <w:pPr>
              <w:spacing w:line="0" w:lineRule="atLeast"/>
              <w:rPr>
                <w:rFonts w:ascii="仿宋_GB2312" w:eastAsia="仿宋_GB2312"/>
                <w:sz w:val="18"/>
                <w:szCs w:val="18"/>
              </w:rPr>
            </w:pPr>
            <w:r>
              <w:rPr>
                <w:rFonts w:hint="eastAsia" w:ascii="仿宋_GB2312" w:eastAsia="仿宋_GB2312"/>
                <w:sz w:val="18"/>
                <w:szCs w:val="18"/>
              </w:rPr>
              <w:t>1、供应商具有冷链运输条件，需提供具备冷链运输条件的证明（包括道路运输许可证、冷链运输车辆图片、行驶证等），提供齐全得2分，未提供或不齐全不得分。</w:t>
            </w:r>
          </w:p>
          <w:p>
            <w:pPr>
              <w:spacing w:line="0" w:lineRule="atLeast"/>
              <w:rPr>
                <w:rFonts w:ascii="仿宋_GB2312" w:eastAsia="仿宋_GB2312"/>
                <w:sz w:val="18"/>
                <w:szCs w:val="18"/>
              </w:rPr>
            </w:pPr>
            <w:r>
              <w:rPr>
                <w:rFonts w:hint="eastAsia" w:ascii="仿宋_GB2312" w:eastAsia="仿宋_GB2312"/>
                <w:sz w:val="18"/>
                <w:szCs w:val="18"/>
              </w:rPr>
              <w:t>2、根据投标人针对医院本次医用耗材采购的配送服务方案、应急方案、人员安排、保障方案、</w:t>
            </w:r>
            <w:r>
              <w:rPr>
                <w:rFonts w:hint="eastAsia" w:ascii="仿宋_GB2312" w:hAnsi="宋体" w:eastAsia="仿宋_GB2312" w:cs="宋体"/>
                <w:sz w:val="18"/>
                <w:szCs w:val="18"/>
              </w:rPr>
              <w:t>内容完整可行的得2分，每有一项方案缺项或不完整的扣0.5分，扣完为止。</w:t>
            </w:r>
          </w:p>
        </w:tc>
        <w:tc>
          <w:tcPr>
            <w:tcW w:w="1247" w:type="dxa"/>
            <w:vAlign w:val="center"/>
          </w:tcPr>
          <w:p>
            <w:pPr>
              <w:spacing w:line="0" w:lineRule="atLeast"/>
              <w:rPr>
                <w:rFonts w:ascii="仿宋_GB2312" w:eastAsia="仿宋_GB2312"/>
                <w:sz w:val="18"/>
                <w:szCs w:val="18"/>
              </w:rPr>
            </w:pPr>
            <w:r>
              <w:rPr>
                <w:rFonts w:hint="eastAsia" w:ascii="仿宋_GB2312" w:eastAsia="仿宋_GB2312"/>
                <w:sz w:val="18"/>
                <w:szCs w:val="18"/>
              </w:rPr>
              <w:t>以投标文件为准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5</w:t>
            </w:r>
          </w:p>
        </w:tc>
        <w:tc>
          <w:tcPr>
            <w:tcW w:w="1129"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售后服务</w:t>
            </w:r>
          </w:p>
        </w:tc>
        <w:tc>
          <w:tcPr>
            <w:tcW w:w="884"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6分</w:t>
            </w:r>
          </w:p>
        </w:tc>
        <w:tc>
          <w:tcPr>
            <w:tcW w:w="4678" w:type="dxa"/>
            <w:vAlign w:val="center"/>
          </w:tcPr>
          <w:p>
            <w:pPr>
              <w:spacing w:line="0" w:lineRule="atLeast"/>
              <w:rPr>
                <w:rFonts w:ascii="仿宋_GB2312" w:eastAsia="仿宋_GB2312"/>
                <w:sz w:val="18"/>
                <w:szCs w:val="18"/>
              </w:rPr>
            </w:pPr>
            <w:r>
              <w:rPr>
                <w:rFonts w:hint="eastAsia" w:ascii="仿宋_GB2312" w:eastAsia="仿宋_GB2312"/>
                <w:sz w:val="18"/>
                <w:szCs w:val="18"/>
              </w:rPr>
              <w:t>1.根据投标人售后服务方案及承诺综合评定（包括但不限于：用户响应、现场服务、售后服务机构、专业能力、人员安排等），</w:t>
            </w:r>
            <w:r>
              <w:rPr>
                <w:rFonts w:hint="eastAsia" w:ascii="仿宋_GB2312" w:hAnsi="宋体" w:eastAsia="仿宋_GB2312" w:cs="宋体"/>
                <w:sz w:val="18"/>
                <w:szCs w:val="18"/>
              </w:rPr>
              <w:t>内容完整可行的得6分，每有一项方案缺项或不完整的扣1分，扣完为止。</w:t>
            </w:r>
          </w:p>
        </w:tc>
        <w:tc>
          <w:tcPr>
            <w:tcW w:w="1247" w:type="dxa"/>
            <w:vAlign w:val="center"/>
          </w:tcPr>
          <w:p>
            <w:pPr>
              <w:spacing w:line="0" w:lineRule="atLeast"/>
              <w:rPr>
                <w:rFonts w:ascii="仿宋_GB2312" w:eastAsia="仿宋_GB2312"/>
                <w:sz w:val="18"/>
                <w:szCs w:val="18"/>
              </w:rPr>
            </w:pPr>
            <w:r>
              <w:rPr>
                <w:rFonts w:hint="eastAsia" w:ascii="仿宋_GB2312" w:eastAsia="仿宋_GB2312"/>
                <w:sz w:val="18"/>
                <w:szCs w:val="18"/>
              </w:rPr>
              <w:t>以投标文件为准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6</w:t>
            </w:r>
          </w:p>
        </w:tc>
        <w:tc>
          <w:tcPr>
            <w:tcW w:w="1129"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少数民族和不发达地区</w:t>
            </w:r>
          </w:p>
        </w:tc>
        <w:tc>
          <w:tcPr>
            <w:tcW w:w="884"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1分</w:t>
            </w:r>
          </w:p>
        </w:tc>
        <w:tc>
          <w:tcPr>
            <w:tcW w:w="4678" w:type="dxa"/>
            <w:vAlign w:val="center"/>
          </w:tcPr>
          <w:p>
            <w:pPr>
              <w:spacing w:line="0" w:lineRule="atLeast"/>
              <w:rPr>
                <w:rFonts w:ascii="仿宋_GB2312" w:eastAsia="仿宋_GB2312"/>
                <w:sz w:val="18"/>
                <w:szCs w:val="18"/>
              </w:rPr>
            </w:pPr>
            <w:r>
              <w:rPr>
                <w:rFonts w:hint="eastAsia" w:ascii="仿宋_GB2312" w:eastAsia="仿宋_GB2312"/>
                <w:sz w:val="18"/>
                <w:szCs w:val="18"/>
              </w:rPr>
              <w:t>1.投标人为不发达地区或少数民族地区的得1分（投标人自行提供相关证明材料，为体哦那个不得分）</w:t>
            </w:r>
          </w:p>
        </w:tc>
        <w:tc>
          <w:tcPr>
            <w:tcW w:w="1247" w:type="dxa"/>
            <w:vAlign w:val="center"/>
          </w:tcPr>
          <w:p>
            <w:pPr>
              <w:spacing w:line="0" w:lineRule="atLeast"/>
              <w:rPr>
                <w:rFonts w:ascii="仿宋_GB2312" w:eastAsia="仿宋_GB2312"/>
                <w:sz w:val="18"/>
                <w:szCs w:val="18"/>
              </w:rPr>
            </w:pPr>
            <w:r>
              <w:rPr>
                <w:rFonts w:hint="eastAsia" w:ascii="仿宋_GB2312" w:eastAsia="仿宋_GB2312"/>
                <w:sz w:val="18"/>
                <w:szCs w:val="18"/>
              </w:rPr>
              <w:t>以投标文件为准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7</w:t>
            </w:r>
          </w:p>
        </w:tc>
        <w:tc>
          <w:tcPr>
            <w:tcW w:w="1129"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投标文件的规范性</w:t>
            </w:r>
          </w:p>
        </w:tc>
        <w:tc>
          <w:tcPr>
            <w:tcW w:w="884"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1分</w:t>
            </w:r>
          </w:p>
        </w:tc>
        <w:tc>
          <w:tcPr>
            <w:tcW w:w="4678" w:type="dxa"/>
            <w:vAlign w:val="center"/>
          </w:tcPr>
          <w:p>
            <w:pPr>
              <w:spacing w:line="0" w:lineRule="atLeast"/>
              <w:rPr>
                <w:rFonts w:ascii="仿宋_GB2312" w:eastAsia="仿宋_GB2312"/>
                <w:sz w:val="18"/>
                <w:szCs w:val="18"/>
              </w:rPr>
            </w:pPr>
            <w:r>
              <w:rPr>
                <w:rFonts w:hint="eastAsia" w:ascii="仿宋_GB2312" w:eastAsia="仿宋_GB2312"/>
                <w:sz w:val="18"/>
                <w:szCs w:val="18"/>
              </w:rPr>
              <w:t>1.投标文件制作规范，没有细微偏差情形的得1分；有一项细微偏差扣0.5分，直至该项分值扣完为止。</w:t>
            </w:r>
          </w:p>
        </w:tc>
        <w:tc>
          <w:tcPr>
            <w:tcW w:w="1247" w:type="dxa"/>
            <w:vAlign w:val="center"/>
          </w:tcPr>
          <w:p>
            <w:pPr>
              <w:spacing w:line="0" w:lineRule="atLeast"/>
              <w:rPr>
                <w:rFonts w:ascii="仿宋_GB2312" w:eastAsia="仿宋_GB2312"/>
                <w:sz w:val="18"/>
                <w:szCs w:val="18"/>
              </w:rPr>
            </w:pPr>
            <w:r>
              <w:rPr>
                <w:rFonts w:hint="eastAsia" w:ascii="仿宋_GB2312" w:eastAsia="仿宋_GB2312"/>
                <w:sz w:val="18"/>
                <w:szCs w:val="18"/>
              </w:rPr>
              <w:t>以投标文件为准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8</w:t>
            </w:r>
          </w:p>
        </w:tc>
        <w:tc>
          <w:tcPr>
            <w:tcW w:w="1129" w:type="dxa"/>
            <w:vAlign w:val="center"/>
          </w:tcPr>
          <w:p>
            <w:pPr>
              <w:spacing w:line="0" w:lineRule="atLeast"/>
              <w:jc w:val="center"/>
              <w:rPr>
                <w:rFonts w:ascii="仿宋_GB2312" w:eastAsia="仿宋_GB2312"/>
                <w:sz w:val="18"/>
                <w:szCs w:val="18"/>
              </w:rPr>
            </w:pPr>
            <w:r>
              <w:rPr>
                <w:rFonts w:hint="eastAsia" w:ascii="仿宋_GB2312" w:hAnsi="宋体" w:eastAsia="仿宋_GB2312" w:cs="宋体"/>
                <w:color w:val="000000"/>
                <w:kern w:val="0"/>
                <w:sz w:val="18"/>
                <w:szCs w:val="18"/>
              </w:rPr>
              <w:t>节能、环境标志、无线局域网产品1%</w:t>
            </w:r>
          </w:p>
        </w:tc>
        <w:tc>
          <w:tcPr>
            <w:tcW w:w="884" w:type="dxa"/>
            <w:vAlign w:val="center"/>
          </w:tcPr>
          <w:p>
            <w:pPr>
              <w:spacing w:line="0" w:lineRule="atLeast"/>
              <w:jc w:val="center"/>
              <w:rPr>
                <w:rFonts w:ascii="仿宋_GB2312" w:eastAsia="仿宋_GB2312"/>
                <w:sz w:val="18"/>
                <w:szCs w:val="18"/>
              </w:rPr>
            </w:pPr>
            <w:r>
              <w:rPr>
                <w:rFonts w:hint="eastAsia" w:ascii="仿宋_GB2312" w:eastAsia="仿宋_GB2312"/>
                <w:sz w:val="18"/>
                <w:szCs w:val="18"/>
              </w:rPr>
              <w:t>1分</w:t>
            </w:r>
          </w:p>
        </w:tc>
        <w:tc>
          <w:tcPr>
            <w:tcW w:w="4678" w:type="dxa"/>
            <w:vAlign w:val="center"/>
          </w:tcPr>
          <w:p>
            <w:pPr>
              <w:spacing w:line="0" w:lineRule="atLeast"/>
              <w:rPr>
                <w:rFonts w:ascii="仿宋_GB2312" w:eastAsia="仿宋_GB2312"/>
                <w:sz w:val="18"/>
                <w:szCs w:val="18"/>
              </w:rPr>
            </w:pPr>
            <w:r>
              <w:rPr>
                <w:rFonts w:hint="eastAsia" w:ascii="仿宋_GB2312" w:eastAsia="仿宋_GB2312"/>
                <w:sz w:val="18"/>
                <w:szCs w:val="18"/>
              </w:rPr>
              <w:t>1.认定为政府优先采购节能产品或者政府采购环境标志产品或者无线局域网产品的得0.5分，最多得1分。非政府采购节能、环境标志产品的、无线局域网产品的不得分。</w:t>
            </w:r>
          </w:p>
          <w:p>
            <w:pPr>
              <w:spacing w:line="0" w:lineRule="atLeast"/>
              <w:rPr>
                <w:rFonts w:ascii="仿宋_GB2312" w:eastAsia="仿宋_GB2312"/>
                <w:sz w:val="18"/>
                <w:szCs w:val="18"/>
              </w:rPr>
            </w:pPr>
            <w:r>
              <w:rPr>
                <w:rFonts w:hint="eastAsia" w:ascii="仿宋_GB2312" w:eastAsia="仿宋_GB2312"/>
                <w:sz w:val="18"/>
                <w:szCs w:val="18"/>
              </w:rPr>
              <w:t>注：</w:t>
            </w:r>
            <w:r>
              <w:rPr>
                <w:rFonts w:hint="eastAsia" w:ascii="仿宋_GB2312" w:hAnsi="宋体" w:eastAsia="仿宋_GB2312" w:cs="宋体"/>
                <w:color w:val="000000"/>
                <w:kern w:val="0"/>
                <w:sz w:val="18"/>
                <w:szCs w:val="18"/>
              </w:rPr>
              <w:t>参照关于调整优化节能产品、环境标志产品政府采购执行机制的通知（财库〔2019〕9号）、关于印发环境标志产品政府采购品目清单的通知（财库〔2019〕18号）、关于印发节能产品政府采购品目清单的通知（财库〔2019〕19号）要求执行。</w:t>
            </w:r>
          </w:p>
        </w:tc>
        <w:tc>
          <w:tcPr>
            <w:tcW w:w="1247" w:type="dxa"/>
            <w:vAlign w:val="center"/>
          </w:tcPr>
          <w:p>
            <w:pPr>
              <w:spacing w:line="0" w:lineRule="atLeast"/>
              <w:rPr>
                <w:rFonts w:ascii="仿宋_GB2312" w:eastAsia="仿宋_GB2312"/>
                <w:sz w:val="18"/>
                <w:szCs w:val="18"/>
              </w:rPr>
            </w:pPr>
            <w:r>
              <w:rPr>
                <w:rFonts w:hint="eastAsia" w:ascii="仿宋_GB2312" w:eastAsia="仿宋_GB2312"/>
                <w:sz w:val="18"/>
                <w:szCs w:val="18"/>
              </w:rPr>
              <w:t>已资质文件为准</w:t>
            </w:r>
          </w:p>
        </w:tc>
      </w:tr>
    </w:tbl>
    <w:p>
      <w:pPr>
        <w:widowControl/>
        <w:spacing w:before="225" w:line="0" w:lineRule="atLeast"/>
        <w:ind w:firstLine="482"/>
        <w:jc w:val="left"/>
        <w:rPr>
          <w:rFonts w:ascii="仿宋" w:hAnsi="仿宋" w:eastAsia="仿宋" w:cs="仿宋"/>
          <w:color w:val="000000"/>
          <w:sz w:val="22"/>
          <w:szCs w:val="22"/>
        </w:rPr>
      </w:pPr>
      <w:r>
        <w:rPr>
          <w:rFonts w:hint="eastAsia" w:ascii="仿宋" w:hAnsi="仿宋" w:eastAsia="仿宋" w:cs="仿宋"/>
          <w:b/>
          <w:color w:val="000000"/>
          <w:kern w:val="0"/>
          <w:sz w:val="22"/>
          <w:szCs w:val="22"/>
          <w:lang w:bidi="ar"/>
        </w:rPr>
        <w:t>六、磋商文件（正本一份，副本二份，需密封）</w:t>
      </w:r>
    </w:p>
    <w:p>
      <w:pPr>
        <w:widowControl/>
        <w:spacing w:before="225" w:line="0" w:lineRule="atLeast"/>
        <w:ind w:firstLine="480"/>
        <w:jc w:val="left"/>
        <w:rPr>
          <w:rFonts w:ascii="仿宋" w:hAnsi="仿宋" w:eastAsia="仿宋" w:cs="仿宋"/>
          <w:color w:val="000000"/>
          <w:sz w:val="22"/>
          <w:szCs w:val="22"/>
        </w:rPr>
      </w:pPr>
      <w:r>
        <w:rPr>
          <w:rFonts w:hint="eastAsia" w:ascii="仿宋" w:hAnsi="仿宋" w:eastAsia="仿宋" w:cs="仿宋"/>
          <w:color w:val="000000"/>
          <w:kern w:val="0"/>
          <w:sz w:val="22"/>
          <w:szCs w:val="22"/>
          <w:lang w:bidi="ar"/>
        </w:rPr>
        <w:t>（一）报价（包括竞标人完成本项目所需的一切费用，分项单价以及总价）；</w:t>
      </w:r>
    </w:p>
    <w:p>
      <w:pPr>
        <w:widowControl/>
        <w:spacing w:before="225" w:line="0" w:lineRule="atLeast"/>
        <w:ind w:firstLine="480"/>
        <w:jc w:val="left"/>
        <w:rPr>
          <w:rFonts w:ascii="仿宋" w:hAnsi="仿宋" w:eastAsia="仿宋" w:cs="仿宋"/>
          <w:b/>
          <w:color w:val="000000"/>
          <w:kern w:val="0"/>
          <w:sz w:val="22"/>
          <w:szCs w:val="22"/>
          <w:lang w:bidi="ar"/>
        </w:rPr>
      </w:pPr>
      <w:r>
        <w:rPr>
          <w:rFonts w:hint="eastAsia" w:ascii="仿宋" w:hAnsi="仿宋" w:eastAsia="仿宋" w:cs="仿宋"/>
          <w:color w:val="000000"/>
          <w:kern w:val="0"/>
          <w:sz w:val="22"/>
          <w:szCs w:val="22"/>
          <w:lang w:bidi="ar"/>
        </w:rPr>
        <w:t>（二）潜在供应商资格要求：6项（所提供资料需加盖单位印章）；</w:t>
      </w:r>
    </w:p>
    <w:p>
      <w:pPr>
        <w:widowControl/>
        <w:spacing w:before="225" w:line="0" w:lineRule="atLeast"/>
        <w:ind w:firstLine="482"/>
        <w:jc w:val="left"/>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（三）投标人的技术应答包括但不限于下列内容：</w:t>
      </w:r>
    </w:p>
    <w:p>
      <w:pPr>
        <w:widowControl/>
        <w:spacing w:before="225" w:line="0" w:lineRule="atLeast"/>
        <w:ind w:firstLine="482"/>
        <w:jc w:val="left"/>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（1）投标产品的品牌、型号、配置；</w:t>
      </w:r>
    </w:p>
    <w:p>
      <w:pPr>
        <w:widowControl/>
        <w:spacing w:before="225" w:line="0" w:lineRule="atLeast"/>
        <w:ind w:firstLine="482"/>
        <w:jc w:val="left"/>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（2）投标产品本身的详细的技术指标和参数（应当尽可能提供检测报告、产品使用说明书、用户手册等材料予以佐证），技术参数差异偏离情况；</w:t>
      </w:r>
    </w:p>
    <w:p>
      <w:pPr>
        <w:widowControl/>
        <w:spacing w:before="225" w:line="0" w:lineRule="atLeast"/>
        <w:ind w:firstLine="482"/>
        <w:jc w:val="left"/>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（3）技术方案、项目实施方案；</w:t>
      </w:r>
    </w:p>
    <w:p>
      <w:pPr>
        <w:widowControl/>
        <w:spacing w:before="225" w:line="0" w:lineRule="atLeast"/>
        <w:ind w:firstLine="482"/>
        <w:jc w:val="left"/>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（4）投标产品技术参数表；</w:t>
      </w:r>
    </w:p>
    <w:p>
      <w:pPr>
        <w:widowControl/>
        <w:spacing w:before="225" w:line="0" w:lineRule="atLeast"/>
        <w:ind w:firstLine="482"/>
        <w:jc w:val="left"/>
        <w:rPr>
          <w:rFonts w:ascii="仿宋" w:hAnsi="仿宋" w:eastAsia="仿宋" w:cs="仿宋"/>
          <w:color w:val="000000"/>
          <w:sz w:val="22"/>
          <w:szCs w:val="22"/>
        </w:rPr>
      </w:pPr>
      <w:r>
        <w:rPr>
          <w:rFonts w:hint="eastAsia" w:ascii="仿宋" w:hAnsi="仿宋" w:eastAsia="仿宋" w:cs="仿宋"/>
          <w:color w:val="000000"/>
          <w:kern w:val="0"/>
          <w:sz w:val="22"/>
          <w:szCs w:val="22"/>
          <w:lang w:bidi="ar"/>
        </w:rPr>
        <w:t>（5）产品彩页资料（投标人按照招标项目的技术指标、参数和技术要求做出技术应答）；</w:t>
      </w:r>
    </w:p>
    <w:p>
      <w:pPr>
        <w:widowControl/>
        <w:spacing w:before="225" w:line="0" w:lineRule="atLeast"/>
        <w:ind w:firstLine="480"/>
        <w:jc w:val="left"/>
        <w:rPr>
          <w:rFonts w:ascii="仿宋" w:hAnsi="仿宋" w:eastAsia="仿宋" w:cs="仿宋"/>
          <w:color w:val="000000"/>
          <w:sz w:val="22"/>
          <w:szCs w:val="22"/>
        </w:rPr>
      </w:pPr>
      <w:r>
        <w:rPr>
          <w:rFonts w:hint="eastAsia" w:ascii="仿宋" w:hAnsi="仿宋" w:eastAsia="仿宋" w:cs="仿宋"/>
          <w:color w:val="000000"/>
          <w:kern w:val="0"/>
          <w:sz w:val="22"/>
          <w:szCs w:val="22"/>
          <w:lang w:bidi="ar"/>
        </w:rPr>
        <w:t>（6）公司情况介绍，服务承诺。</w:t>
      </w:r>
    </w:p>
    <w:p>
      <w:pPr>
        <w:widowControl/>
        <w:spacing w:before="225" w:line="0" w:lineRule="atLeast"/>
        <w:ind w:firstLine="480"/>
        <w:jc w:val="left"/>
        <w:rPr>
          <w:rFonts w:ascii="仿宋" w:hAnsi="仿宋" w:eastAsia="仿宋" w:cs="仿宋"/>
          <w:color w:val="000000"/>
          <w:sz w:val="22"/>
          <w:szCs w:val="22"/>
        </w:rPr>
      </w:pPr>
      <w:r>
        <w:rPr>
          <w:rFonts w:hint="eastAsia" w:ascii="仿宋" w:hAnsi="仿宋" w:eastAsia="仿宋" w:cs="仿宋"/>
          <w:color w:val="000000"/>
          <w:kern w:val="0"/>
          <w:sz w:val="22"/>
          <w:szCs w:val="22"/>
          <w:lang w:bidi="ar"/>
        </w:rPr>
        <w:t>（四）其他投标人认为需要提供的文件和资料。</w:t>
      </w:r>
    </w:p>
    <w:p>
      <w:pPr>
        <w:widowControl/>
        <w:spacing w:before="225" w:line="0" w:lineRule="atLeast"/>
        <w:ind w:firstLine="482"/>
        <w:jc w:val="left"/>
        <w:rPr>
          <w:rFonts w:ascii="仿宋" w:hAnsi="仿宋" w:eastAsia="仿宋" w:cs="仿宋"/>
          <w:sz w:val="22"/>
          <w:szCs w:val="22"/>
        </w:rPr>
      </w:pPr>
      <w:r>
        <w:rPr>
          <w:rFonts w:hint="eastAsia" w:ascii="仿宋" w:hAnsi="仿宋" w:eastAsia="仿宋" w:cs="仿宋"/>
          <w:b/>
          <w:kern w:val="0"/>
          <w:sz w:val="22"/>
          <w:szCs w:val="22"/>
          <w:lang w:bidi="ar"/>
        </w:rPr>
        <w:t>七、报名时间：</w:t>
      </w:r>
      <w:r>
        <w:rPr>
          <w:rFonts w:hint="eastAsia" w:ascii="仿宋" w:hAnsi="仿宋" w:eastAsia="仿宋" w:cs="仿宋"/>
          <w:kern w:val="0"/>
          <w:sz w:val="22"/>
          <w:szCs w:val="22"/>
          <w:lang w:bidi="ar"/>
        </w:rPr>
        <w:t>2021年</w:t>
      </w:r>
      <w:r>
        <w:rPr>
          <w:rFonts w:hint="eastAsia" w:ascii="仿宋" w:hAnsi="仿宋" w:eastAsia="仿宋" w:cs="仿宋"/>
          <w:b/>
          <w:kern w:val="0"/>
          <w:sz w:val="22"/>
          <w:szCs w:val="22"/>
          <w:lang w:bidi="ar"/>
        </w:rPr>
        <w:t>5月31日至2021年6月7日17：00.</w:t>
      </w:r>
    </w:p>
    <w:p>
      <w:pPr>
        <w:widowControl/>
        <w:spacing w:before="225"/>
        <w:ind w:firstLine="442" w:firstLineChars="200"/>
        <w:jc w:val="left"/>
        <w:rPr>
          <w:rFonts w:hint="eastAsia" w:ascii="仿宋" w:hAnsi="仿宋" w:eastAsia="仿宋" w:cs="仿宋"/>
          <w:b/>
          <w:bCs/>
          <w:color w:val="000000"/>
          <w:kern w:val="0"/>
          <w:sz w:val="22"/>
          <w:szCs w:val="22"/>
          <w:lang w:eastAsia="zh-CN" w:bidi="ar"/>
        </w:rPr>
      </w:pPr>
      <w:r>
        <w:rPr>
          <w:rFonts w:hint="eastAsia" w:ascii="仿宋" w:hAnsi="仿宋" w:eastAsia="仿宋" w:cs="仿宋"/>
          <w:b/>
          <w:kern w:val="0"/>
          <w:sz w:val="22"/>
          <w:szCs w:val="22"/>
          <w:lang w:bidi="ar"/>
        </w:rPr>
        <w:t>八、报名方式：</w:t>
      </w:r>
      <w:r>
        <w:rPr>
          <w:rFonts w:hint="eastAsia" w:ascii="仿宋" w:hAnsi="仿宋" w:eastAsia="仿宋" w:cs="仿宋"/>
          <w:b/>
          <w:bCs/>
          <w:color w:val="000000"/>
          <w:kern w:val="0"/>
          <w:sz w:val="22"/>
          <w:szCs w:val="22"/>
          <w:lang w:bidi="ar"/>
        </w:rPr>
        <w:t>邮箱报名：496919275@qq.com</w:t>
      </w:r>
      <w:r>
        <w:rPr>
          <w:rFonts w:hint="eastAsia" w:ascii="仿宋" w:hAnsi="仿宋" w:eastAsia="仿宋" w:cs="仿宋"/>
          <w:b/>
          <w:bCs/>
          <w:color w:val="000000"/>
          <w:kern w:val="0"/>
          <w:sz w:val="22"/>
          <w:szCs w:val="22"/>
          <w:lang w:bidi="ar"/>
        </w:rPr>
        <w:fldChar w:fldCharType="begin"/>
      </w:r>
      <w:r>
        <w:rPr>
          <w:rFonts w:hint="eastAsia" w:ascii="仿宋" w:hAnsi="仿宋" w:eastAsia="仿宋" w:cs="仿宋"/>
          <w:b/>
          <w:bCs/>
          <w:color w:val="000000"/>
          <w:kern w:val="0"/>
          <w:sz w:val="22"/>
          <w:szCs w:val="22"/>
          <w:lang w:bidi="ar"/>
        </w:rPr>
        <w:instrText xml:space="preserve"> HYPERLINK "mailto:496919275@qq.com(需提供经办人有" </w:instrText>
      </w:r>
      <w:r>
        <w:rPr>
          <w:rFonts w:hint="eastAsia" w:ascii="仿宋" w:hAnsi="仿宋" w:eastAsia="仿宋" w:cs="仿宋"/>
          <w:b/>
          <w:bCs/>
          <w:color w:val="000000"/>
          <w:kern w:val="0"/>
          <w:sz w:val="22"/>
          <w:szCs w:val="22"/>
          <w:lang w:bidi="ar"/>
        </w:rPr>
        <w:fldChar w:fldCharType="separate"/>
      </w:r>
      <w:r>
        <w:rPr>
          <w:rFonts w:hint="eastAsia" w:ascii="仿宋" w:hAnsi="仿宋" w:eastAsia="仿宋" w:cs="仿宋"/>
          <w:b/>
          <w:bCs/>
          <w:color w:val="000000"/>
          <w:kern w:val="0"/>
          <w:sz w:val="22"/>
          <w:szCs w:val="22"/>
          <w:lang w:bidi="ar"/>
        </w:rPr>
        <w:t>需提供单位介绍信、经办人</w:t>
      </w:r>
      <w:r>
        <w:rPr>
          <w:rFonts w:hint="eastAsia" w:ascii="仿宋" w:hAnsi="仿宋" w:eastAsia="仿宋" w:cs="仿宋"/>
          <w:b/>
          <w:bCs/>
          <w:color w:val="000000"/>
          <w:kern w:val="0"/>
          <w:sz w:val="22"/>
          <w:szCs w:val="22"/>
          <w:lang w:bidi="ar"/>
        </w:rPr>
        <w:fldChar w:fldCharType="end"/>
      </w:r>
      <w:r>
        <w:rPr>
          <w:rFonts w:hint="eastAsia" w:ascii="仿宋" w:hAnsi="仿宋" w:eastAsia="仿宋" w:cs="仿宋"/>
          <w:b/>
          <w:bCs/>
          <w:color w:val="000000"/>
          <w:kern w:val="0"/>
          <w:sz w:val="22"/>
          <w:szCs w:val="22"/>
          <w:lang w:bidi="ar"/>
        </w:rPr>
        <w:t>身份证扫描件，同时加盖单位鲜章</w:t>
      </w:r>
      <w:r>
        <w:rPr>
          <w:rFonts w:hint="eastAsia" w:ascii="仿宋" w:hAnsi="仿宋" w:eastAsia="仿宋" w:cs="仿宋"/>
          <w:b/>
          <w:bCs/>
          <w:color w:val="000000"/>
          <w:kern w:val="0"/>
          <w:sz w:val="22"/>
          <w:szCs w:val="22"/>
          <w:lang w:eastAsia="zh-CN" w:bidi="ar"/>
        </w:rPr>
        <w:t>。</w:t>
      </w:r>
    </w:p>
    <w:p>
      <w:pPr>
        <w:pStyle w:val="2"/>
        <w:ind w:firstLine="442" w:firstLineChars="200"/>
        <w:rPr>
          <w:lang w:bidi="ar"/>
        </w:rPr>
      </w:pPr>
      <w:bookmarkStart w:id="1" w:name="_GoBack"/>
      <w:bookmarkEnd w:id="1"/>
      <w:r>
        <w:rPr>
          <w:rFonts w:hint="eastAsia" w:ascii="仿宋" w:hAnsi="仿宋" w:eastAsia="仿宋" w:cs="仿宋"/>
          <w:b/>
          <w:kern w:val="0"/>
          <w:sz w:val="22"/>
          <w:szCs w:val="22"/>
          <w:lang w:bidi="ar"/>
        </w:rPr>
        <w:t>九、磋商文件提交时间：</w:t>
      </w:r>
      <w:r>
        <w:rPr>
          <w:rFonts w:hint="eastAsia" w:ascii="仿宋" w:hAnsi="仿宋" w:eastAsia="仿宋" w:cs="仿宋"/>
          <w:kern w:val="0"/>
          <w:sz w:val="22"/>
          <w:szCs w:val="22"/>
          <w:lang w:bidi="ar"/>
        </w:rPr>
        <w:t>2021年</w:t>
      </w:r>
      <w:r>
        <w:rPr>
          <w:rFonts w:hint="eastAsia" w:ascii="仿宋" w:hAnsi="仿宋" w:eastAsia="仿宋" w:cs="仿宋"/>
          <w:b/>
          <w:kern w:val="0"/>
          <w:sz w:val="22"/>
          <w:szCs w:val="22"/>
          <w:lang w:bidi="ar"/>
        </w:rPr>
        <w:t>6月9日下午15：00。</w:t>
      </w:r>
    </w:p>
    <w:p>
      <w:pPr>
        <w:widowControl/>
        <w:spacing w:before="225" w:line="0" w:lineRule="atLeast"/>
        <w:ind w:firstLine="442" w:firstLineChars="200"/>
        <w:jc w:val="left"/>
        <w:rPr>
          <w:rFonts w:ascii="仿宋" w:hAnsi="仿宋" w:eastAsia="仿宋" w:cs="仿宋"/>
          <w:b/>
          <w:sz w:val="22"/>
          <w:szCs w:val="22"/>
        </w:rPr>
      </w:pPr>
      <w:r>
        <w:rPr>
          <w:rFonts w:hint="eastAsia" w:ascii="仿宋" w:hAnsi="仿宋" w:eastAsia="仿宋" w:cs="仿宋"/>
          <w:b/>
          <w:kern w:val="0"/>
          <w:sz w:val="22"/>
          <w:szCs w:val="22"/>
          <w:lang w:bidi="ar"/>
        </w:rPr>
        <w:t>十、磋商时间：</w:t>
      </w:r>
      <w:r>
        <w:rPr>
          <w:rFonts w:hint="eastAsia" w:ascii="仿宋" w:hAnsi="仿宋" w:eastAsia="仿宋" w:cs="仿宋"/>
          <w:kern w:val="0"/>
          <w:sz w:val="22"/>
          <w:szCs w:val="22"/>
          <w:lang w:bidi="ar"/>
        </w:rPr>
        <w:t>2021年</w:t>
      </w:r>
      <w:r>
        <w:rPr>
          <w:rFonts w:hint="eastAsia" w:ascii="仿宋" w:hAnsi="仿宋" w:eastAsia="仿宋" w:cs="仿宋"/>
          <w:b/>
          <w:kern w:val="0"/>
          <w:sz w:val="22"/>
          <w:szCs w:val="22"/>
          <w:lang w:bidi="ar"/>
        </w:rPr>
        <w:t>6月9日下午15：00。</w:t>
      </w:r>
    </w:p>
    <w:p>
      <w:pPr>
        <w:widowControl/>
        <w:spacing w:before="225" w:line="0" w:lineRule="atLeast"/>
        <w:ind w:firstLine="482"/>
        <w:jc w:val="left"/>
        <w:rPr>
          <w:rFonts w:ascii="仿宋" w:hAnsi="仿宋" w:eastAsia="仿宋" w:cs="仿宋"/>
          <w:kern w:val="0"/>
          <w:sz w:val="22"/>
          <w:szCs w:val="22"/>
          <w:lang w:bidi="ar"/>
        </w:rPr>
      </w:pPr>
      <w:r>
        <w:rPr>
          <w:rFonts w:hint="eastAsia" w:ascii="仿宋" w:hAnsi="仿宋" w:eastAsia="仿宋" w:cs="仿宋"/>
          <w:b/>
          <w:kern w:val="0"/>
          <w:sz w:val="22"/>
          <w:szCs w:val="22"/>
          <w:lang w:bidi="ar"/>
        </w:rPr>
        <w:t>十一、磋商地点：</w:t>
      </w:r>
      <w:r>
        <w:rPr>
          <w:rFonts w:hint="eastAsia" w:ascii="仿宋" w:hAnsi="仿宋" w:eastAsia="仿宋" w:cs="仿宋"/>
          <w:kern w:val="0"/>
          <w:sz w:val="22"/>
          <w:szCs w:val="22"/>
          <w:lang w:bidi="ar"/>
        </w:rPr>
        <w:t>盐亭县人民医院行政办公楼5楼会议室</w:t>
      </w:r>
    </w:p>
    <w:p>
      <w:pPr>
        <w:widowControl/>
        <w:spacing w:before="225" w:line="0" w:lineRule="atLeast"/>
        <w:ind w:firstLine="482"/>
        <w:jc w:val="left"/>
        <w:rPr>
          <w:rFonts w:ascii="仿宋" w:hAnsi="仿宋" w:eastAsia="仿宋" w:cs="仿宋"/>
          <w:sz w:val="22"/>
          <w:szCs w:val="22"/>
        </w:rPr>
      </w:pPr>
      <w:r>
        <w:rPr>
          <w:rFonts w:hint="eastAsia" w:ascii="仿宋" w:hAnsi="仿宋" w:eastAsia="仿宋" w:cs="仿宋"/>
          <w:b/>
          <w:kern w:val="0"/>
          <w:sz w:val="22"/>
          <w:szCs w:val="22"/>
          <w:lang w:bidi="ar"/>
        </w:rPr>
        <w:t>十二、联系电话：</w:t>
      </w:r>
      <w:r>
        <w:rPr>
          <w:rFonts w:hint="eastAsia" w:ascii="仿宋" w:hAnsi="仿宋" w:eastAsia="仿宋" w:cs="仿宋"/>
          <w:kern w:val="0"/>
          <w:sz w:val="22"/>
          <w:szCs w:val="22"/>
          <w:lang w:bidi="ar"/>
        </w:rPr>
        <w:t>0816-7229049 、联系人：李老师</w:t>
      </w:r>
    </w:p>
    <w:p>
      <w:pPr>
        <w:spacing w:line="0" w:lineRule="atLeast"/>
        <w:rPr>
          <w:rFonts w:ascii="仿宋" w:hAnsi="仿宋" w:eastAsia="仿宋" w:cs="仿宋"/>
          <w:sz w:val="22"/>
          <w:szCs w:val="22"/>
        </w:rPr>
      </w:pPr>
      <w:r>
        <w:rPr>
          <w:rFonts w:hint="eastAsia" w:ascii="仿宋" w:hAnsi="仿宋" w:eastAsia="仿宋" w:cs="仿宋"/>
          <w:sz w:val="22"/>
          <w:szCs w:val="22"/>
        </w:rPr>
        <w:t xml:space="preserve">                                                    </w:t>
      </w:r>
    </w:p>
    <w:p>
      <w:pPr>
        <w:spacing w:line="0" w:lineRule="atLeast"/>
        <w:ind w:firstLine="5720" w:firstLineChars="2600"/>
        <w:rPr>
          <w:rFonts w:ascii="仿宋" w:hAnsi="仿宋" w:eastAsia="仿宋" w:cs="仿宋"/>
          <w:sz w:val="22"/>
          <w:szCs w:val="22"/>
        </w:rPr>
      </w:pPr>
      <w:r>
        <w:rPr>
          <w:rFonts w:hint="eastAsia" w:ascii="仿宋" w:hAnsi="仿宋" w:eastAsia="仿宋" w:cs="仿宋"/>
          <w:sz w:val="22"/>
          <w:szCs w:val="22"/>
        </w:rPr>
        <w:t>盐亭县人民医院</w:t>
      </w:r>
    </w:p>
    <w:p>
      <w:pPr>
        <w:spacing w:line="0" w:lineRule="atLeast"/>
        <w:rPr>
          <w:rFonts w:ascii="仿宋" w:hAnsi="仿宋" w:eastAsia="仿宋" w:cs="仿宋"/>
          <w:b/>
          <w:sz w:val="22"/>
          <w:szCs w:val="22"/>
        </w:rPr>
      </w:pPr>
      <w:r>
        <w:rPr>
          <w:rFonts w:hint="eastAsia" w:ascii="仿宋" w:hAnsi="仿宋" w:eastAsia="仿宋" w:cs="仿宋"/>
          <w:sz w:val="22"/>
          <w:szCs w:val="22"/>
        </w:rPr>
        <w:t xml:space="preserve">                                                  </w:t>
      </w:r>
      <w:r>
        <w:rPr>
          <w:rFonts w:hint="eastAsia" w:ascii="仿宋" w:hAnsi="仿宋" w:eastAsia="仿宋" w:cs="仿宋"/>
          <w:b/>
          <w:sz w:val="22"/>
          <w:szCs w:val="22"/>
        </w:rPr>
        <w:t xml:space="preserve"> 2021年5月31日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4D496"/>
    <w:multiLevelType w:val="singleLevel"/>
    <w:tmpl w:val="70E4D496"/>
    <w:lvl w:ilvl="0" w:tentative="0">
      <w:start w:val="12"/>
      <w:numFmt w:val="decimal"/>
      <w:lvlText w:val="%1."/>
      <w:lvlJc w:val="left"/>
      <w:pPr>
        <w:tabs>
          <w:tab w:val="left" w:pos="312"/>
        </w:tabs>
      </w:pPr>
    </w:lvl>
  </w:abstractNum>
  <w:abstractNum w:abstractNumId="1">
    <w:nsid w:val="76EB764C"/>
    <w:multiLevelType w:val="multilevel"/>
    <w:tmpl w:val="76EB764C"/>
    <w:lvl w:ilvl="0" w:tentative="0">
      <w:start w:val="1"/>
      <w:numFmt w:val="decimal"/>
      <w:suff w:val="nothing"/>
      <w:lvlText w:val="%1. "/>
      <w:lvlJc w:val="left"/>
      <w:pPr>
        <w:ind w:left="1283" w:hanging="1283"/>
      </w:pPr>
      <w:rPr>
        <w:rFonts w:hint="eastAsia" w:ascii="宋体" w:eastAsia="宋体"/>
        <w:b/>
        <w:i w:val="0"/>
        <w:sz w:val="24"/>
      </w:rPr>
    </w:lvl>
    <w:lvl w:ilvl="1" w:tentative="0">
      <w:start w:val="1"/>
      <w:numFmt w:val="decimal"/>
      <w:suff w:val="nothing"/>
      <w:lvlText w:val="%1.%2 "/>
      <w:lvlJc w:val="left"/>
      <w:pPr>
        <w:ind w:left="576" w:hanging="576"/>
      </w:pPr>
      <w:rPr>
        <w:rFonts w:hint="eastAsia" w:ascii="宋体" w:eastAsia="宋体"/>
        <w:b w:val="0"/>
        <w:i w:val="0"/>
        <w:sz w:val="24"/>
        <w:szCs w:val="21"/>
      </w:rPr>
    </w:lvl>
    <w:lvl w:ilvl="2" w:tentative="0">
      <w:start w:val="1"/>
      <w:numFmt w:val="decimal"/>
      <w:pStyle w:val="4"/>
      <w:suff w:val="nothing"/>
      <w:lvlText w:val="%1.%2.%3 "/>
      <w:lvlJc w:val="left"/>
      <w:pPr>
        <w:ind w:left="0" w:firstLine="0"/>
      </w:pPr>
      <w:rPr>
        <w:rFonts w:hint="eastAsia" w:ascii="宋体" w:eastAsia="宋体"/>
        <w:b w:val="0"/>
        <w:i w:val="0"/>
        <w:sz w:val="24"/>
        <w:szCs w:val="21"/>
      </w:rPr>
    </w:lvl>
    <w:lvl w:ilvl="3" w:tentative="0">
      <w:start w:val="1"/>
      <w:numFmt w:val="decimal"/>
      <w:lvlText w:val="%1.%2.%3.%4"/>
      <w:lvlJc w:val="left"/>
      <w:pPr>
        <w:ind w:left="864" w:hanging="864"/>
      </w:pPr>
      <w:rPr>
        <w:rFonts w:hint="eastAsia"/>
        <w:b w:val="0"/>
        <w:sz w:val="21"/>
        <w:szCs w:val="21"/>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E7490"/>
    <w:rsid w:val="00065C83"/>
    <w:rsid w:val="00093838"/>
    <w:rsid w:val="000C5B99"/>
    <w:rsid w:val="000C7E3C"/>
    <w:rsid w:val="00134B34"/>
    <w:rsid w:val="00196AC9"/>
    <w:rsid w:val="002319DC"/>
    <w:rsid w:val="00232AB3"/>
    <w:rsid w:val="002E6F27"/>
    <w:rsid w:val="003258E8"/>
    <w:rsid w:val="003F4D5B"/>
    <w:rsid w:val="004146AA"/>
    <w:rsid w:val="004A4B49"/>
    <w:rsid w:val="004B07CE"/>
    <w:rsid w:val="004B7F59"/>
    <w:rsid w:val="00537ECD"/>
    <w:rsid w:val="005D57F4"/>
    <w:rsid w:val="00666E31"/>
    <w:rsid w:val="006E1B2A"/>
    <w:rsid w:val="0075699B"/>
    <w:rsid w:val="00763A65"/>
    <w:rsid w:val="007F546F"/>
    <w:rsid w:val="008110A3"/>
    <w:rsid w:val="00884D1D"/>
    <w:rsid w:val="0098427E"/>
    <w:rsid w:val="00A0331C"/>
    <w:rsid w:val="00B325C0"/>
    <w:rsid w:val="00B43DCA"/>
    <w:rsid w:val="00C3216C"/>
    <w:rsid w:val="00C7196F"/>
    <w:rsid w:val="00CC5C74"/>
    <w:rsid w:val="00CC7705"/>
    <w:rsid w:val="00CF2764"/>
    <w:rsid w:val="00CF2CD6"/>
    <w:rsid w:val="00D34EFB"/>
    <w:rsid w:val="00D566B9"/>
    <w:rsid w:val="00E31BFE"/>
    <w:rsid w:val="00E774F9"/>
    <w:rsid w:val="00E81B4F"/>
    <w:rsid w:val="00ED152E"/>
    <w:rsid w:val="00F21F91"/>
    <w:rsid w:val="00FA25CE"/>
    <w:rsid w:val="00FE0F5C"/>
    <w:rsid w:val="01200964"/>
    <w:rsid w:val="175700AB"/>
    <w:rsid w:val="19B17455"/>
    <w:rsid w:val="19BD7CFA"/>
    <w:rsid w:val="2ACE7490"/>
    <w:rsid w:val="2EC749A0"/>
    <w:rsid w:val="313005E6"/>
    <w:rsid w:val="334C2896"/>
    <w:rsid w:val="38620D79"/>
    <w:rsid w:val="3FFA400F"/>
    <w:rsid w:val="492E646B"/>
    <w:rsid w:val="525758A7"/>
    <w:rsid w:val="573A0BC7"/>
    <w:rsid w:val="5EC04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next w:val="1"/>
    <w:link w:val="20"/>
    <w:qFormat/>
    <w:uiPriority w:val="0"/>
    <w:pPr>
      <w:keepNext/>
      <w:keepLines/>
      <w:numPr>
        <w:ilvl w:val="2"/>
        <w:numId w:val="1"/>
      </w:numPr>
      <w:outlineLvl w:val="2"/>
    </w:pPr>
    <w:rPr>
      <w:rFonts w:ascii="Times New Roman" w:hAnsi="Times New Roman" w:eastAsia="宋体" w:cs="Times New Roman"/>
      <w:bCs/>
      <w:sz w:val="24"/>
      <w:szCs w:val="3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22"/>
    <w:qFormat/>
    <w:uiPriority w:val="0"/>
    <w:pPr>
      <w:spacing w:after="120"/>
    </w:pPr>
    <w:rPr>
      <w:rFonts w:ascii="Times New Roman"/>
    </w:rPr>
  </w:style>
  <w:style w:type="paragraph" w:styleId="3">
    <w:name w:val="Body Text First Indent"/>
    <w:basedOn w:val="2"/>
    <w:unhideWhenUsed/>
    <w:qFormat/>
    <w:uiPriority w:val="99"/>
    <w:pPr>
      <w:ind w:firstLine="420" w:firstLineChars="100"/>
    </w:pPr>
  </w:style>
  <w:style w:type="paragraph" w:styleId="5">
    <w:name w:val="Normal Indent"/>
    <w:basedOn w:val="1"/>
    <w:qFormat/>
    <w:uiPriority w:val="0"/>
    <w:pPr>
      <w:ind w:firstLine="420" w:firstLineChars="200"/>
    </w:pPr>
  </w:style>
  <w:style w:type="paragraph" w:styleId="6">
    <w:name w:val="Body Text Indent"/>
    <w:basedOn w:val="1"/>
    <w:link w:val="23"/>
    <w:qFormat/>
    <w:uiPriority w:val="0"/>
    <w:pPr>
      <w:spacing w:after="120"/>
      <w:ind w:left="420" w:leftChars="200"/>
    </w:pPr>
  </w:style>
  <w:style w:type="paragraph" w:styleId="7">
    <w:name w:val="Plain Text"/>
    <w:basedOn w:val="1"/>
    <w:link w:val="21"/>
    <w:qFormat/>
    <w:uiPriority w:val="0"/>
    <w:rPr>
      <w:rFonts w:ascii="宋体" w:hAnsi="Courier New" w:eastAsia="宋体" w:cs="Courier New"/>
      <w:szCs w:val="21"/>
    </w:rPr>
  </w:style>
  <w:style w:type="paragraph" w:styleId="8">
    <w:name w:val="footer"/>
    <w:basedOn w:val="1"/>
    <w:uiPriority w:val="0"/>
    <w:pPr>
      <w:tabs>
        <w:tab w:val="center" w:pos="4153"/>
        <w:tab w:val="right" w:pos="8306"/>
      </w:tabs>
      <w:snapToGrid w:val="0"/>
      <w:jc w:val="left"/>
    </w:pPr>
    <w:rPr>
      <w:sz w:val="18"/>
      <w:szCs w:val="20"/>
    </w:rPr>
  </w:style>
  <w:style w:type="paragraph" w:styleId="9">
    <w:name w:val="Subtitle"/>
    <w:basedOn w:val="1"/>
    <w:next w:val="1"/>
    <w:qFormat/>
    <w:uiPriority w:val="0"/>
    <w:pPr>
      <w:tabs>
        <w:tab w:val="left" w:pos="0"/>
      </w:tabs>
      <w:ind w:firstLine="420"/>
    </w:pPr>
    <w:rPr>
      <w:rFonts w:ascii="Cambria" w:hAnsi="Cambria"/>
      <w:i/>
      <w:color w:val="4F81BD"/>
      <w:spacing w:val="15"/>
      <w:sz w:val="24"/>
    </w:rPr>
  </w:style>
  <w:style w:type="paragraph" w:styleId="10">
    <w:name w:val="Normal (Web)"/>
    <w:basedOn w:val="1"/>
    <w:qFormat/>
    <w:uiPriority w:val="0"/>
    <w:pPr>
      <w:widowControl/>
      <w:tabs>
        <w:tab w:val="left" w:pos="0"/>
      </w:tabs>
      <w:spacing w:before="100" w:beforeAutospacing="1" w:after="100" w:afterAutospacing="1"/>
    </w:pPr>
    <w:rPr>
      <w:rFonts w:cs="宋体"/>
      <w:kern w:val="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uiPriority w:val="0"/>
  </w:style>
  <w:style w:type="character" w:styleId="15">
    <w:name w:val="Hyperlink"/>
    <w:basedOn w:val="13"/>
    <w:qFormat/>
    <w:uiPriority w:val="0"/>
    <w:rPr>
      <w:color w:val="0563C1" w:themeColor="hyperlink"/>
      <w:u w:val="single"/>
      <w14:textFill>
        <w14:solidFill>
          <w14:schemeClr w14:val="hlink"/>
        </w14:solidFill>
      </w14:textFill>
    </w:rPr>
  </w:style>
  <w:style w:type="character" w:styleId="16">
    <w:name w:val="annotation reference"/>
    <w:qFormat/>
    <w:uiPriority w:val="0"/>
    <w:rPr>
      <w:sz w:val="21"/>
      <w:szCs w:val="21"/>
    </w:rPr>
  </w:style>
  <w:style w:type="paragraph" w:styleId="17">
    <w:name w:val="List Paragraph"/>
    <w:basedOn w:val="1"/>
    <w:qFormat/>
    <w:uiPriority w:val="34"/>
    <w:pPr>
      <w:ind w:firstLine="420" w:firstLineChars="200"/>
    </w:pPr>
    <w:rPr>
      <w:rFonts w:ascii="Calibri" w:hAnsi="Calibri" w:eastAsia="宋体" w:cs="Times New Roman"/>
      <w:szCs w:val="22"/>
    </w:rPr>
  </w:style>
  <w:style w:type="paragraph" w:customStyle="1" w:styleId="18">
    <w:name w:val="_正文段落"/>
    <w:basedOn w:val="1"/>
    <w:qFormat/>
    <w:uiPriority w:val="0"/>
    <w:pPr>
      <w:spacing w:line="360" w:lineRule="auto"/>
    </w:pPr>
    <w:rPr>
      <w:rFonts w:eastAsia="仿宋_GB2312"/>
      <w:sz w:val="28"/>
    </w:rPr>
  </w:style>
  <w:style w:type="paragraph" w:customStyle="1" w:styleId="19">
    <w:name w:val="内文"/>
    <w:qFormat/>
    <w:uiPriority w:val="0"/>
    <w:pPr>
      <w:widowControl w:val="0"/>
      <w:autoSpaceDE w:val="0"/>
      <w:autoSpaceDN w:val="0"/>
      <w:adjustRightInd w:val="0"/>
      <w:jc w:val="both"/>
    </w:pPr>
    <w:rPr>
      <w:rFonts w:ascii="宋体" w:hAnsiTheme="minorHAnsi" w:eastAsiaTheme="minorEastAsia" w:cstheme="minorBidi"/>
      <w:color w:val="000000"/>
      <w:sz w:val="21"/>
      <w:szCs w:val="24"/>
      <w:lang w:val="en-US" w:eastAsia="zh-CN" w:bidi="ar-SA"/>
    </w:rPr>
  </w:style>
  <w:style w:type="character" w:customStyle="1" w:styleId="20">
    <w:name w:val="标题 3 Char"/>
    <w:basedOn w:val="13"/>
    <w:link w:val="4"/>
    <w:uiPriority w:val="0"/>
    <w:rPr>
      <w:bCs/>
      <w:sz w:val="24"/>
      <w:szCs w:val="32"/>
    </w:rPr>
  </w:style>
  <w:style w:type="character" w:customStyle="1" w:styleId="21">
    <w:name w:val="纯文本 Char"/>
    <w:basedOn w:val="13"/>
    <w:link w:val="7"/>
    <w:qFormat/>
    <w:uiPriority w:val="0"/>
    <w:rPr>
      <w:rFonts w:ascii="宋体" w:hAnsi="Courier New" w:cs="Courier New"/>
      <w:kern w:val="2"/>
      <w:sz w:val="21"/>
      <w:szCs w:val="21"/>
    </w:rPr>
  </w:style>
  <w:style w:type="character" w:customStyle="1" w:styleId="22">
    <w:name w:val="正文文本 Char"/>
    <w:basedOn w:val="13"/>
    <w:link w:val="2"/>
    <w:qFormat/>
    <w:uiPriority w:val="0"/>
    <w:rPr>
      <w:rFonts w:hAnsiTheme="minorHAnsi" w:eastAsiaTheme="minorEastAsia" w:cstheme="minorBidi"/>
      <w:kern w:val="2"/>
      <w:sz w:val="21"/>
      <w:szCs w:val="24"/>
    </w:rPr>
  </w:style>
  <w:style w:type="character" w:customStyle="1" w:styleId="23">
    <w:name w:val="正文文本缩进 Char"/>
    <w:basedOn w:val="13"/>
    <w:link w:val="6"/>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5359B7-2472-4030-BDC4-8BBF7B509C8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1056</Words>
  <Characters>6023</Characters>
  <Lines>50</Lines>
  <Paragraphs>14</Paragraphs>
  <TotalTime>1</TotalTime>
  <ScaleCrop>false</ScaleCrop>
  <LinksUpToDate>false</LinksUpToDate>
  <CharactersWithSpaces>7065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2020-09-27T06:53:00Z</dcterms:created>
  <dc:creator>Administrator</dc:creator>
  <cp:lastModifiedBy>Administrator</cp:lastModifiedBy>
  <dcterms:modified xsi:type="dcterms:W3CDTF">2021-05-31T06:37:02Z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67606113A7EF4A4E8E79DE71A724F009</vt:lpwstr>
  </property>
</Properties>
</file>